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FD" w:rsidRPr="00407591" w:rsidRDefault="00407591" w:rsidP="00A763AD">
      <w:pPr>
        <w:spacing w:line="360" w:lineRule="auto"/>
        <w:rPr>
          <w:b/>
          <w:sz w:val="24"/>
          <w:szCs w:val="24"/>
        </w:rPr>
      </w:pPr>
      <w:bookmarkStart w:id="0" w:name="_GoBack"/>
      <w:bookmarkEnd w:id="0"/>
      <w:r w:rsidRPr="00407591">
        <w:rPr>
          <w:b/>
          <w:sz w:val="24"/>
          <w:szCs w:val="24"/>
        </w:rPr>
        <w:t>Ta</w:t>
      </w:r>
      <w:r w:rsidR="00AB08FD" w:rsidRPr="00407591">
        <w:rPr>
          <w:b/>
          <w:sz w:val="24"/>
          <w:szCs w:val="24"/>
        </w:rPr>
        <w:t>ble 1. H</w:t>
      </w:r>
      <w:r w:rsidR="002A2736">
        <w:rPr>
          <w:b/>
          <w:sz w:val="24"/>
          <w:szCs w:val="24"/>
        </w:rPr>
        <w:t xml:space="preserve">ousing </w:t>
      </w:r>
      <w:r w:rsidR="00AB08FD" w:rsidRPr="00407591">
        <w:rPr>
          <w:b/>
          <w:sz w:val="24"/>
          <w:szCs w:val="24"/>
        </w:rPr>
        <w:t>A</w:t>
      </w:r>
      <w:r w:rsidR="002A2736">
        <w:rPr>
          <w:b/>
          <w:sz w:val="24"/>
          <w:szCs w:val="24"/>
        </w:rPr>
        <w:t xml:space="preserve">ssistance </w:t>
      </w:r>
      <w:r w:rsidR="00AB08FD" w:rsidRPr="00407591">
        <w:rPr>
          <w:b/>
          <w:sz w:val="24"/>
          <w:szCs w:val="24"/>
        </w:rPr>
        <w:t>P</w:t>
      </w:r>
      <w:r w:rsidR="002A2736">
        <w:rPr>
          <w:b/>
          <w:sz w:val="24"/>
          <w:szCs w:val="24"/>
        </w:rPr>
        <w:t>ayment</w:t>
      </w:r>
    </w:p>
    <w:tbl>
      <w:tblPr>
        <w:tblStyle w:val="TableGrid"/>
        <w:tblW w:w="9209" w:type="dxa"/>
        <w:tblLook w:val="04A0" w:firstRow="1" w:lastRow="0" w:firstColumn="1" w:lastColumn="0" w:noHBand="0" w:noVBand="1"/>
      </w:tblPr>
      <w:tblGrid>
        <w:gridCol w:w="1696"/>
        <w:gridCol w:w="1701"/>
        <w:gridCol w:w="1701"/>
        <w:gridCol w:w="1985"/>
        <w:gridCol w:w="2126"/>
      </w:tblGrid>
      <w:tr w:rsidR="002A2736" w:rsidTr="002A2736">
        <w:tc>
          <w:tcPr>
            <w:tcW w:w="1696" w:type="dxa"/>
          </w:tcPr>
          <w:p w:rsidR="002A2736" w:rsidRDefault="002A2736" w:rsidP="00A763AD">
            <w:pPr>
              <w:spacing w:line="360" w:lineRule="auto"/>
              <w:rPr>
                <w:sz w:val="24"/>
                <w:szCs w:val="24"/>
              </w:rPr>
            </w:pPr>
            <w:r>
              <w:rPr>
                <w:sz w:val="24"/>
                <w:szCs w:val="24"/>
              </w:rPr>
              <w:t>Average Monthly Cost</w:t>
            </w:r>
          </w:p>
        </w:tc>
        <w:tc>
          <w:tcPr>
            <w:tcW w:w="1701" w:type="dxa"/>
          </w:tcPr>
          <w:p w:rsidR="002A2736" w:rsidRDefault="002A2736" w:rsidP="00A763AD">
            <w:pPr>
              <w:spacing w:line="360" w:lineRule="auto"/>
              <w:rPr>
                <w:sz w:val="24"/>
                <w:szCs w:val="24"/>
              </w:rPr>
            </w:pPr>
            <w:r>
              <w:rPr>
                <w:sz w:val="24"/>
                <w:szCs w:val="24"/>
              </w:rPr>
              <w:t>2019 Budget</w:t>
            </w:r>
          </w:p>
        </w:tc>
        <w:tc>
          <w:tcPr>
            <w:tcW w:w="1701" w:type="dxa"/>
          </w:tcPr>
          <w:p w:rsidR="002A2736" w:rsidRDefault="002A2736" w:rsidP="00A763AD">
            <w:pPr>
              <w:spacing w:line="360" w:lineRule="auto"/>
              <w:rPr>
                <w:sz w:val="24"/>
                <w:szCs w:val="24"/>
              </w:rPr>
            </w:pPr>
            <w:r>
              <w:rPr>
                <w:sz w:val="24"/>
                <w:szCs w:val="24"/>
              </w:rPr>
              <w:t>Number of Tenants on the scheme</w:t>
            </w:r>
          </w:p>
        </w:tc>
        <w:tc>
          <w:tcPr>
            <w:tcW w:w="1985" w:type="dxa"/>
          </w:tcPr>
          <w:p w:rsidR="002A2736" w:rsidRDefault="002A2736" w:rsidP="00A763AD">
            <w:pPr>
              <w:spacing w:line="360" w:lineRule="auto"/>
              <w:rPr>
                <w:sz w:val="24"/>
                <w:szCs w:val="24"/>
              </w:rPr>
            </w:pPr>
            <w:r>
              <w:rPr>
                <w:sz w:val="24"/>
                <w:szCs w:val="24"/>
              </w:rPr>
              <w:t>Average National Two Bed Home cost</w:t>
            </w:r>
          </w:p>
        </w:tc>
        <w:tc>
          <w:tcPr>
            <w:tcW w:w="2126" w:type="dxa"/>
          </w:tcPr>
          <w:p w:rsidR="002A2736" w:rsidRDefault="002A2736" w:rsidP="00A763AD">
            <w:pPr>
              <w:spacing w:line="360" w:lineRule="auto"/>
              <w:rPr>
                <w:sz w:val="24"/>
                <w:szCs w:val="24"/>
              </w:rPr>
            </w:pPr>
            <w:r>
              <w:rPr>
                <w:sz w:val="24"/>
                <w:szCs w:val="24"/>
              </w:rPr>
              <w:t>Years to reach average national two bed home cost</w:t>
            </w:r>
          </w:p>
        </w:tc>
      </w:tr>
      <w:tr w:rsidR="002A2736" w:rsidTr="002A2736">
        <w:tc>
          <w:tcPr>
            <w:tcW w:w="1696" w:type="dxa"/>
          </w:tcPr>
          <w:p w:rsidR="002A2736" w:rsidRDefault="002A2736" w:rsidP="00A763AD">
            <w:pPr>
              <w:spacing w:line="360" w:lineRule="auto"/>
              <w:rPr>
                <w:sz w:val="24"/>
                <w:szCs w:val="24"/>
              </w:rPr>
            </w:pPr>
            <w:r>
              <w:rPr>
                <w:sz w:val="24"/>
                <w:szCs w:val="24"/>
              </w:rPr>
              <w:t>€829</w:t>
            </w:r>
          </w:p>
        </w:tc>
        <w:tc>
          <w:tcPr>
            <w:tcW w:w="1701" w:type="dxa"/>
          </w:tcPr>
          <w:p w:rsidR="002A2736" w:rsidRDefault="002A2736" w:rsidP="00A763AD">
            <w:pPr>
              <w:spacing w:line="360" w:lineRule="auto"/>
              <w:rPr>
                <w:sz w:val="24"/>
                <w:szCs w:val="24"/>
              </w:rPr>
            </w:pPr>
            <w:r>
              <w:rPr>
                <w:sz w:val="24"/>
                <w:szCs w:val="24"/>
              </w:rPr>
              <w:t>€423m</w:t>
            </w:r>
          </w:p>
        </w:tc>
        <w:tc>
          <w:tcPr>
            <w:tcW w:w="1701" w:type="dxa"/>
          </w:tcPr>
          <w:p w:rsidR="002A2736" w:rsidRDefault="002A2736" w:rsidP="00A763AD">
            <w:pPr>
              <w:spacing w:line="360" w:lineRule="auto"/>
              <w:rPr>
                <w:sz w:val="24"/>
                <w:szCs w:val="24"/>
              </w:rPr>
            </w:pPr>
            <w:r>
              <w:rPr>
                <w:sz w:val="24"/>
                <w:szCs w:val="24"/>
              </w:rPr>
              <w:t>48,261</w:t>
            </w:r>
          </w:p>
        </w:tc>
        <w:tc>
          <w:tcPr>
            <w:tcW w:w="1985" w:type="dxa"/>
          </w:tcPr>
          <w:p w:rsidR="002A2736" w:rsidRDefault="002A2736" w:rsidP="00A763AD">
            <w:pPr>
              <w:spacing w:line="360" w:lineRule="auto"/>
              <w:rPr>
                <w:sz w:val="24"/>
                <w:szCs w:val="24"/>
              </w:rPr>
            </w:pPr>
            <w:r>
              <w:rPr>
                <w:sz w:val="24"/>
                <w:szCs w:val="24"/>
              </w:rPr>
              <w:t>€213,000</w:t>
            </w:r>
          </w:p>
        </w:tc>
        <w:tc>
          <w:tcPr>
            <w:tcW w:w="2126" w:type="dxa"/>
          </w:tcPr>
          <w:p w:rsidR="002A2736" w:rsidRDefault="002A2736" w:rsidP="00A763AD">
            <w:pPr>
              <w:spacing w:line="360" w:lineRule="auto"/>
              <w:rPr>
                <w:sz w:val="24"/>
                <w:szCs w:val="24"/>
              </w:rPr>
            </w:pPr>
            <w:r>
              <w:rPr>
                <w:sz w:val="24"/>
                <w:szCs w:val="24"/>
              </w:rPr>
              <w:t>21</w:t>
            </w:r>
          </w:p>
        </w:tc>
      </w:tr>
    </w:tbl>
    <w:p w:rsidR="002A2736" w:rsidRDefault="002A2736" w:rsidP="00A763AD">
      <w:pPr>
        <w:spacing w:line="360" w:lineRule="auto"/>
        <w:rPr>
          <w:sz w:val="24"/>
          <w:szCs w:val="24"/>
        </w:rPr>
      </w:pPr>
    </w:p>
    <w:p w:rsidR="00407591" w:rsidRDefault="00407591" w:rsidP="00A763AD">
      <w:pPr>
        <w:spacing w:line="360" w:lineRule="auto"/>
        <w:rPr>
          <w:b/>
          <w:sz w:val="24"/>
          <w:szCs w:val="24"/>
        </w:rPr>
      </w:pPr>
      <w:r w:rsidRPr="002A2736">
        <w:rPr>
          <w:b/>
          <w:sz w:val="24"/>
          <w:szCs w:val="24"/>
        </w:rPr>
        <w:t>Table 2. Rent Supplement</w:t>
      </w:r>
    </w:p>
    <w:tbl>
      <w:tblPr>
        <w:tblStyle w:val="TableGrid"/>
        <w:tblW w:w="9209" w:type="dxa"/>
        <w:tblLook w:val="04A0" w:firstRow="1" w:lastRow="0" w:firstColumn="1" w:lastColumn="0" w:noHBand="0" w:noVBand="1"/>
      </w:tblPr>
      <w:tblGrid>
        <w:gridCol w:w="1696"/>
        <w:gridCol w:w="1701"/>
        <w:gridCol w:w="1701"/>
        <w:gridCol w:w="1985"/>
        <w:gridCol w:w="2126"/>
      </w:tblGrid>
      <w:tr w:rsidR="002A2736" w:rsidTr="005A467B">
        <w:tc>
          <w:tcPr>
            <w:tcW w:w="1696" w:type="dxa"/>
          </w:tcPr>
          <w:p w:rsidR="002A2736" w:rsidRDefault="002A2736" w:rsidP="005A467B">
            <w:pPr>
              <w:spacing w:line="360" w:lineRule="auto"/>
              <w:rPr>
                <w:sz w:val="24"/>
                <w:szCs w:val="24"/>
              </w:rPr>
            </w:pPr>
            <w:r>
              <w:rPr>
                <w:sz w:val="24"/>
                <w:szCs w:val="24"/>
              </w:rPr>
              <w:t>Average Monthly Cost</w:t>
            </w:r>
          </w:p>
        </w:tc>
        <w:tc>
          <w:tcPr>
            <w:tcW w:w="1701" w:type="dxa"/>
          </w:tcPr>
          <w:p w:rsidR="002A2736" w:rsidRDefault="002A2736" w:rsidP="005A467B">
            <w:pPr>
              <w:spacing w:line="360" w:lineRule="auto"/>
              <w:rPr>
                <w:sz w:val="24"/>
                <w:szCs w:val="24"/>
              </w:rPr>
            </w:pPr>
            <w:r>
              <w:rPr>
                <w:sz w:val="24"/>
                <w:szCs w:val="24"/>
              </w:rPr>
              <w:t>2019 Budget</w:t>
            </w:r>
          </w:p>
        </w:tc>
        <w:tc>
          <w:tcPr>
            <w:tcW w:w="1701" w:type="dxa"/>
          </w:tcPr>
          <w:p w:rsidR="002A2736" w:rsidRDefault="002A2736" w:rsidP="005A467B">
            <w:pPr>
              <w:spacing w:line="360" w:lineRule="auto"/>
              <w:rPr>
                <w:sz w:val="24"/>
                <w:szCs w:val="24"/>
              </w:rPr>
            </w:pPr>
            <w:r>
              <w:rPr>
                <w:sz w:val="24"/>
                <w:szCs w:val="24"/>
              </w:rPr>
              <w:t>Number of Tenants on the scheme</w:t>
            </w:r>
          </w:p>
        </w:tc>
        <w:tc>
          <w:tcPr>
            <w:tcW w:w="1985" w:type="dxa"/>
          </w:tcPr>
          <w:p w:rsidR="002A2736" w:rsidRDefault="002A2736" w:rsidP="005A467B">
            <w:pPr>
              <w:spacing w:line="360" w:lineRule="auto"/>
              <w:rPr>
                <w:sz w:val="24"/>
                <w:szCs w:val="24"/>
              </w:rPr>
            </w:pPr>
            <w:r>
              <w:rPr>
                <w:sz w:val="24"/>
                <w:szCs w:val="24"/>
              </w:rPr>
              <w:t>Average National Two Bed Home cost</w:t>
            </w:r>
          </w:p>
        </w:tc>
        <w:tc>
          <w:tcPr>
            <w:tcW w:w="2126" w:type="dxa"/>
          </w:tcPr>
          <w:p w:rsidR="002A2736" w:rsidRDefault="002A2736" w:rsidP="005A467B">
            <w:pPr>
              <w:spacing w:line="360" w:lineRule="auto"/>
              <w:rPr>
                <w:sz w:val="24"/>
                <w:szCs w:val="24"/>
              </w:rPr>
            </w:pPr>
            <w:r>
              <w:rPr>
                <w:sz w:val="24"/>
                <w:szCs w:val="24"/>
              </w:rPr>
              <w:t>Years to reach average national two bed home cost</w:t>
            </w:r>
          </w:p>
        </w:tc>
      </w:tr>
      <w:tr w:rsidR="002A2736" w:rsidTr="005A467B">
        <w:tc>
          <w:tcPr>
            <w:tcW w:w="1696" w:type="dxa"/>
          </w:tcPr>
          <w:p w:rsidR="002A2736" w:rsidRDefault="002A2736" w:rsidP="005A467B">
            <w:pPr>
              <w:spacing w:line="360" w:lineRule="auto"/>
              <w:rPr>
                <w:sz w:val="24"/>
                <w:szCs w:val="24"/>
              </w:rPr>
            </w:pPr>
            <w:r>
              <w:rPr>
                <w:sz w:val="24"/>
                <w:szCs w:val="24"/>
              </w:rPr>
              <w:t>€521.54</w:t>
            </w:r>
          </w:p>
        </w:tc>
        <w:tc>
          <w:tcPr>
            <w:tcW w:w="1701" w:type="dxa"/>
          </w:tcPr>
          <w:p w:rsidR="002A2736" w:rsidRDefault="002A2736" w:rsidP="005A467B">
            <w:pPr>
              <w:spacing w:line="360" w:lineRule="auto"/>
              <w:rPr>
                <w:sz w:val="24"/>
                <w:szCs w:val="24"/>
              </w:rPr>
            </w:pPr>
            <w:r>
              <w:rPr>
                <w:sz w:val="24"/>
                <w:szCs w:val="24"/>
              </w:rPr>
              <w:t>€132.4m</w:t>
            </w:r>
          </w:p>
        </w:tc>
        <w:tc>
          <w:tcPr>
            <w:tcW w:w="1701" w:type="dxa"/>
          </w:tcPr>
          <w:p w:rsidR="002A2736" w:rsidRDefault="002A2736" w:rsidP="005A467B">
            <w:pPr>
              <w:spacing w:line="360" w:lineRule="auto"/>
              <w:rPr>
                <w:sz w:val="24"/>
                <w:szCs w:val="24"/>
              </w:rPr>
            </w:pPr>
            <w:r>
              <w:rPr>
                <w:sz w:val="24"/>
                <w:szCs w:val="24"/>
              </w:rPr>
              <w:t>18,265</w:t>
            </w:r>
          </w:p>
        </w:tc>
        <w:tc>
          <w:tcPr>
            <w:tcW w:w="1985" w:type="dxa"/>
          </w:tcPr>
          <w:p w:rsidR="002A2736" w:rsidRDefault="002A2736" w:rsidP="005A467B">
            <w:pPr>
              <w:spacing w:line="360" w:lineRule="auto"/>
              <w:rPr>
                <w:sz w:val="24"/>
                <w:szCs w:val="24"/>
              </w:rPr>
            </w:pPr>
            <w:r>
              <w:rPr>
                <w:sz w:val="24"/>
                <w:szCs w:val="24"/>
              </w:rPr>
              <w:t>€213,000</w:t>
            </w:r>
          </w:p>
        </w:tc>
        <w:tc>
          <w:tcPr>
            <w:tcW w:w="2126" w:type="dxa"/>
          </w:tcPr>
          <w:p w:rsidR="002A2736" w:rsidRDefault="002A2736" w:rsidP="005A467B">
            <w:pPr>
              <w:spacing w:line="360" w:lineRule="auto"/>
              <w:rPr>
                <w:sz w:val="24"/>
                <w:szCs w:val="24"/>
              </w:rPr>
            </w:pPr>
            <w:r>
              <w:rPr>
                <w:sz w:val="24"/>
                <w:szCs w:val="24"/>
              </w:rPr>
              <w:t>34</w:t>
            </w:r>
          </w:p>
        </w:tc>
      </w:tr>
    </w:tbl>
    <w:p w:rsidR="002A2736" w:rsidRPr="002A2736" w:rsidRDefault="002A2736" w:rsidP="00A763AD">
      <w:pPr>
        <w:spacing w:line="360" w:lineRule="auto"/>
        <w:rPr>
          <w:b/>
          <w:sz w:val="24"/>
          <w:szCs w:val="24"/>
        </w:rPr>
      </w:pPr>
    </w:p>
    <w:p w:rsidR="00407591" w:rsidRPr="002A2736" w:rsidRDefault="00407591" w:rsidP="00A763AD">
      <w:pPr>
        <w:spacing w:line="360" w:lineRule="auto"/>
        <w:rPr>
          <w:b/>
          <w:sz w:val="24"/>
          <w:szCs w:val="24"/>
        </w:rPr>
      </w:pPr>
      <w:r w:rsidRPr="002A2736">
        <w:rPr>
          <w:b/>
          <w:sz w:val="24"/>
          <w:szCs w:val="24"/>
        </w:rPr>
        <w:t>Table 3. Rental Accommodation Scheme</w:t>
      </w:r>
    </w:p>
    <w:tbl>
      <w:tblPr>
        <w:tblStyle w:val="TableGrid"/>
        <w:tblW w:w="9209" w:type="dxa"/>
        <w:tblLook w:val="04A0" w:firstRow="1" w:lastRow="0" w:firstColumn="1" w:lastColumn="0" w:noHBand="0" w:noVBand="1"/>
      </w:tblPr>
      <w:tblGrid>
        <w:gridCol w:w="1696"/>
        <w:gridCol w:w="1701"/>
        <w:gridCol w:w="1701"/>
        <w:gridCol w:w="1985"/>
        <w:gridCol w:w="2126"/>
      </w:tblGrid>
      <w:tr w:rsidR="002A2736" w:rsidTr="005A467B">
        <w:tc>
          <w:tcPr>
            <w:tcW w:w="1696" w:type="dxa"/>
          </w:tcPr>
          <w:p w:rsidR="002A2736" w:rsidRDefault="002A2736" w:rsidP="005A467B">
            <w:pPr>
              <w:spacing w:line="360" w:lineRule="auto"/>
              <w:rPr>
                <w:sz w:val="24"/>
                <w:szCs w:val="24"/>
              </w:rPr>
            </w:pPr>
            <w:r>
              <w:rPr>
                <w:sz w:val="24"/>
                <w:szCs w:val="24"/>
              </w:rPr>
              <w:t>Average Monthly Cost</w:t>
            </w:r>
          </w:p>
        </w:tc>
        <w:tc>
          <w:tcPr>
            <w:tcW w:w="1701" w:type="dxa"/>
          </w:tcPr>
          <w:p w:rsidR="002A2736" w:rsidRDefault="002A2736" w:rsidP="005A467B">
            <w:pPr>
              <w:spacing w:line="360" w:lineRule="auto"/>
              <w:rPr>
                <w:sz w:val="24"/>
                <w:szCs w:val="24"/>
              </w:rPr>
            </w:pPr>
            <w:r>
              <w:rPr>
                <w:sz w:val="24"/>
                <w:szCs w:val="24"/>
              </w:rPr>
              <w:t>2019 Budget</w:t>
            </w:r>
          </w:p>
        </w:tc>
        <w:tc>
          <w:tcPr>
            <w:tcW w:w="1701" w:type="dxa"/>
          </w:tcPr>
          <w:p w:rsidR="002A2736" w:rsidRDefault="002A2736" w:rsidP="005A467B">
            <w:pPr>
              <w:spacing w:line="360" w:lineRule="auto"/>
              <w:rPr>
                <w:sz w:val="24"/>
                <w:szCs w:val="24"/>
              </w:rPr>
            </w:pPr>
            <w:r>
              <w:rPr>
                <w:sz w:val="24"/>
                <w:szCs w:val="24"/>
              </w:rPr>
              <w:t>Number of Tenants on the scheme</w:t>
            </w:r>
          </w:p>
        </w:tc>
        <w:tc>
          <w:tcPr>
            <w:tcW w:w="1985" w:type="dxa"/>
          </w:tcPr>
          <w:p w:rsidR="002A2736" w:rsidRDefault="002A2736" w:rsidP="005A467B">
            <w:pPr>
              <w:spacing w:line="360" w:lineRule="auto"/>
              <w:rPr>
                <w:sz w:val="24"/>
                <w:szCs w:val="24"/>
              </w:rPr>
            </w:pPr>
            <w:r>
              <w:rPr>
                <w:sz w:val="24"/>
                <w:szCs w:val="24"/>
              </w:rPr>
              <w:t>Average National Two Bed Home cost</w:t>
            </w:r>
          </w:p>
        </w:tc>
        <w:tc>
          <w:tcPr>
            <w:tcW w:w="2126" w:type="dxa"/>
          </w:tcPr>
          <w:p w:rsidR="002A2736" w:rsidRDefault="002A2736" w:rsidP="005A467B">
            <w:pPr>
              <w:spacing w:line="360" w:lineRule="auto"/>
              <w:rPr>
                <w:sz w:val="24"/>
                <w:szCs w:val="24"/>
              </w:rPr>
            </w:pPr>
            <w:r>
              <w:rPr>
                <w:sz w:val="24"/>
                <w:szCs w:val="24"/>
              </w:rPr>
              <w:t>Years to reach average national two bed home cost</w:t>
            </w:r>
          </w:p>
        </w:tc>
      </w:tr>
      <w:tr w:rsidR="002A2736" w:rsidTr="005A467B">
        <w:tc>
          <w:tcPr>
            <w:tcW w:w="1696" w:type="dxa"/>
          </w:tcPr>
          <w:p w:rsidR="002A2736" w:rsidRDefault="002A2736" w:rsidP="005A467B">
            <w:pPr>
              <w:spacing w:line="360" w:lineRule="auto"/>
              <w:rPr>
                <w:sz w:val="24"/>
                <w:szCs w:val="24"/>
              </w:rPr>
            </w:pPr>
            <w:r>
              <w:rPr>
                <w:sz w:val="24"/>
                <w:szCs w:val="24"/>
              </w:rPr>
              <w:t>€625.96</w:t>
            </w:r>
          </w:p>
        </w:tc>
        <w:tc>
          <w:tcPr>
            <w:tcW w:w="1701" w:type="dxa"/>
          </w:tcPr>
          <w:p w:rsidR="002A2736" w:rsidRDefault="002A2736" w:rsidP="005A467B">
            <w:pPr>
              <w:spacing w:line="360" w:lineRule="auto"/>
              <w:rPr>
                <w:sz w:val="24"/>
                <w:szCs w:val="24"/>
              </w:rPr>
            </w:pPr>
            <w:r>
              <w:rPr>
                <w:sz w:val="24"/>
                <w:szCs w:val="24"/>
              </w:rPr>
              <w:t>€134.3m</w:t>
            </w:r>
          </w:p>
        </w:tc>
        <w:tc>
          <w:tcPr>
            <w:tcW w:w="1701" w:type="dxa"/>
          </w:tcPr>
          <w:p w:rsidR="002A2736" w:rsidRDefault="002A2736" w:rsidP="005A467B">
            <w:pPr>
              <w:spacing w:line="360" w:lineRule="auto"/>
              <w:rPr>
                <w:sz w:val="24"/>
                <w:szCs w:val="24"/>
              </w:rPr>
            </w:pPr>
            <w:r>
              <w:rPr>
                <w:sz w:val="24"/>
                <w:szCs w:val="24"/>
              </w:rPr>
              <w:t>18,520</w:t>
            </w:r>
          </w:p>
        </w:tc>
        <w:tc>
          <w:tcPr>
            <w:tcW w:w="1985" w:type="dxa"/>
          </w:tcPr>
          <w:p w:rsidR="002A2736" w:rsidRDefault="002A2736" w:rsidP="005A467B">
            <w:pPr>
              <w:spacing w:line="360" w:lineRule="auto"/>
              <w:rPr>
                <w:sz w:val="24"/>
                <w:szCs w:val="24"/>
              </w:rPr>
            </w:pPr>
            <w:r>
              <w:rPr>
                <w:sz w:val="24"/>
                <w:szCs w:val="24"/>
              </w:rPr>
              <w:t>€213,000</w:t>
            </w:r>
          </w:p>
        </w:tc>
        <w:tc>
          <w:tcPr>
            <w:tcW w:w="2126" w:type="dxa"/>
          </w:tcPr>
          <w:p w:rsidR="002A2736" w:rsidRDefault="002A2736" w:rsidP="005A467B">
            <w:pPr>
              <w:spacing w:line="360" w:lineRule="auto"/>
              <w:rPr>
                <w:sz w:val="24"/>
                <w:szCs w:val="24"/>
              </w:rPr>
            </w:pPr>
            <w:r>
              <w:rPr>
                <w:sz w:val="24"/>
                <w:szCs w:val="24"/>
              </w:rPr>
              <w:t>28</w:t>
            </w:r>
          </w:p>
        </w:tc>
      </w:tr>
    </w:tbl>
    <w:p w:rsidR="002A2736" w:rsidRPr="002A2736" w:rsidRDefault="002A2736" w:rsidP="00A763AD">
      <w:pPr>
        <w:spacing w:line="360" w:lineRule="auto"/>
        <w:rPr>
          <w:b/>
          <w:sz w:val="24"/>
          <w:szCs w:val="24"/>
        </w:rPr>
      </w:pPr>
    </w:p>
    <w:p w:rsidR="00407591" w:rsidRPr="002A2736" w:rsidRDefault="00407591" w:rsidP="00A763AD">
      <w:pPr>
        <w:spacing w:line="360" w:lineRule="auto"/>
        <w:rPr>
          <w:b/>
          <w:sz w:val="24"/>
          <w:szCs w:val="24"/>
        </w:rPr>
      </w:pPr>
      <w:r w:rsidRPr="002A2736">
        <w:rPr>
          <w:b/>
          <w:sz w:val="24"/>
          <w:szCs w:val="24"/>
        </w:rPr>
        <w:t>Table 4. Social Housing Current Expenditure Programme</w:t>
      </w:r>
    </w:p>
    <w:tbl>
      <w:tblPr>
        <w:tblStyle w:val="TableGrid"/>
        <w:tblW w:w="9209" w:type="dxa"/>
        <w:tblLook w:val="04A0" w:firstRow="1" w:lastRow="0" w:firstColumn="1" w:lastColumn="0" w:noHBand="0" w:noVBand="1"/>
      </w:tblPr>
      <w:tblGrid>
        <w:gridCol w:w="1696"/>
        <w:gridCol w:w="1701"/>
        <w:gridCol w:w="1701"/>
        <w:gridCol w:w="1985"/>
        <w:gridCol w:w="2126"/>
      </w:tblGrid>
      <w:tr w:rsidR="002A2736" w:rsidTr="005A467B">
        <w:tc>
          <w:tcPr>
            <w:tcW w:w="1696" w:type="dxa"/>
          </w:tcPr>
          <w:p w:rsidR="002A2736" w:rsidRDefault="002A2736" w:rsidP="005A467B">
            <w:pPr>
              <w:spacing w:line="360" w:lineRule="auto"/>
              <w:rPr>
                <w:sz w:val="24"/>
                <w:szCs w:val="24"/>
              </w:rPr>
            </w:pPr>
            <w:r>
              <w:rPr>
                <w:sz w:val="24"/>
                <w:szCs w:val="24"/>
              </w:rPr>
              <w:t>Average Monthly Cost</w:t>
            </w:r>
          </w:p>
        </w:tc>
        <w:tc>
          <w:tcPr>
            <w:tcW w:w="1701" w:type="dxa"/>
          </w:tcPr>
          <w:p w:rsidR="002A2736" w:rsidRDefault="002A2736" w:rsidP="005A467B">
            <w:pPr>
              <w:spacing w:line="360" w:lineRule="auto"/>
              <w:rPr>
                <w:sz w:val="24"/>
                <w:szCs w:val="24"/>
              </w:rPr>
            </w:pPr>
            <w:r>
              <w:rPr>
                <w:sz w:val="24"/>
                <w:szCs w:val="24"/>
              </w:rPr>
              <w:t>2019 Budget</w:t>
            </w:r>
          </w:p>
        </w:tc>
        <w:tc>
          <w:tcPr>
            <w:tcW w:w="1701" w:type="dxa"/>
          </w:tcPr>
          <w:p w:rsidR="002A2736" w:rsidRDefault="002A2736" w:rsidP="005A467B">
            <w:pPr>
              <w:spacing w:line="360" w:lineRule="auto"/>
              <w:rPr>
                <w:sz w:val="24"/>
                <w:szCs w:val="24"/>
              </w:rPr>
            </w:pPr>
            <w:r>
              <w:rPr>
                <w:sz w:val="24"/>
                <w:szCs w:val="24"/>
              </w:rPr>
              <w:t>Number of Tenants on the scheme</w:t>
            </w:r>
          </w:p>
        </w:tc>
        <w:tc>
          <w:tcPr>
            <w:tcW w:w="1985" w:type="dxa"/>
          </w:tcPr>
          <w:p w:rsidR="002A2736" w:rsidRDefault="002A2736" w:rsidP="005A467B">
            <w:pPr>
              <w:spacing w:line="360" w:lineRule="auto"/>
              <w:rPr>
                <w:sz w:val="24"/>
                <w:szCs w:val="24"/>
              </w:rPr>
            </w:pPr>
            <w:r>
              <w:rPr>
                <w:sz w:val="24"/>
                <w:szCs w:val="24"/>
              </w:rPr>
              <w:t>Average National Two Bed Home cost</w:t>
            </w:r>
          </w:p>
        </w:tc>
        <w:tc>
          <w:tcPr>
            <w:tcW w:w="2126" w:type="dxa"/>
          </w:tcPr>
          <w:p w:rsidR="002A2736" w:rsidRDefault="002A2736" w:rsidP="005A467B">
            <w:pPr>
              <w:spacing w:line="360" w:lineRule="auto"/>
              <w:rPr>
                <w:sz w:val="24"/>
                <w:szCs w:val="24"/>
              </w:rPr>
            </w:pPr>
            <w:r>
              <w:rPr>
                <w:sz w:val="24"/>
                <w:szCs w:val="24"/>
              </w:rPr>
              <w:t>Years to reach average national two bed home cost</w:t>
            </w:r>
          </w:p>
        </w:tc>
      </w:tr>
      <w:tr w:rsidR="002A2736" w:rsidTr="005A467B">
        <w:tc>
          <w:tcPr>
            <w:tcW w:w="1696" w:type="dxa"/>
          </w:tcPr>
          <w:p w:rsidR="002A2736" w:rsidRDefault="002A2736" w:rsidP="005A467B">
            <w:pPr>
              <w:spacing w:line="360" w:lineRule="auto"/>
              <w:rPr>
                <w:sz w:val="24"/>
                <w:szCs w:val="24"/>
              </w:rPr>
            </w:pPr>
            <w:r>
              <w:rPr>
                <w:sz w:val="24"/>
                <w:szCs w:val="24"/>
              </w:rPr>
              <w:t>€757</w:t>
            </w:r>
          </w:p>
        </w:tc>
        <w:tc>
          <w:tcPr>
            <w:tcW w:w="1701" w:type="dxa"/>
          </w:tcPr>
          <w:p w:rsidR="002A2736" w:rsidRDefault="002A2736" w:rsidP="005A467B">
            <w:pPr>
              <w:spacing w:line="360" w:lineRule="auto"/>
              <w:rPr>
                <w:sz w:val="24"/>
                <w:szCs w:val="24"/>
              </w:rPr>
            </w:pPr>
            <w:r>
              <w:rPr>
                <w:sz w:val="24"/>
                <w:szCs w:val="24"/>
              </w:rPr>
              <w:t>€155m</w:t>
            </w:r>
          </w:p>
        </w:tc>
        <w:tc>
          <w:tcPr>
            <w:tcW w:w="1701" w:type="dxa"/>
          </w:tcPr>
          <w:p w:rsidR="002A2736" w:rsidRDefault="002A2736" w:rsidP="005A467B">
            <w:pPr>
              <w:spacing w:line="360" w:lineRule="auto"/>
              <w:rPr>
                <w:sz w:val="24"/>
                <w:szCs w:val="24"/>
              </w:rPr>
            </w:pPr>
            <w:r>
              <w:rPr>
                <w:sz w:val="24"/>
                <w:szCs w:val="24"/>
              </w:rPr>
              <w:t>7,988</w:t>
            </w:r>
          </w:p>
        </w:tc>
        <w:tc>
          <w:tcPr>
            <w:tcW w:w="1985" w:type="dxa"/>
          </w:tcPr>
          <w:p w:rsidR="002A2736" w:rsidRDefault="002A2736" w:rsidP="005A467B">
            <w:pPr>
              <w:spacing w:line="360" w:lineRule="auto"/>
              <w:rPr>
                <w:sz w:val="24"/>
                <w:szCs w:val="24"/>
              </w:rPr>
            </w:pPr>
            <w:r>
              <w:rPr>
                <w:sz w:val="24"/>
                <w:szCs w:val="24"/>
              </w:rPr>
              <w:t>€213,000</w:t>
            </w:r>
          </w:p>
        </w:tc>
        <w:tc>
          <w:tcPr>
            <w:tcW w:w="2126" w:type="dxa"/>
          </w:tcPr>
          <w:p w:rsidR="002A2736" w:rsidRDefault="002A2736" w:rsidP="005A467B">
            <w:pPr>
              <w:spacing w:line="360" w:lineRule="auto"/>
              <w:rPr>
                <w:sz w:val="24"/>
                <w:szCs w:val="24"/>
              </w:rPr>
            </w:pPr>
            <w:r>
              <w:rPr>
                <w:sz w:val="24"/>
                <w:szCs w:val="24"/>
              </w:rPr>
              <w:t>23</w:t>
            </w:r>
          </w:p>
        </w:tc>
      </w:tr>
    </w:tbl>
    <w:p w:rsidR="00407591" w:rsidRDefault="00407591" w:rsidP="00A763AD">
      <w:pPr>
        <w:spacing w:line="360" w:lineRule="auto"/>
        <w:rPr>
          <w:sz w:val="24"/>
          <w:szCs w:val="24"/>
        </w:rPr>
      </w:pPr>
    </w:p>
    <w:p w:rsidR="00407591" w:rsidRDefault="002A2736" w:rsidP="00A763AD">
      <w:pPr>
        <w:spacing w:line="360" w:lineRule="auto"/>
        <w:rPr>
          <w:sz w:val="24"/>
          <w:szCs w:val="24"/>
        </w:rPr>
      </w:pPr>
      <w:r>
        <w:rPr>
          <w:sz w:val="24"/>
          <w:szCs w:val="24"/>
        </w:rPr>
        <w:t>Source PQ Replies attached.</w:t>
      </w:r>
    </w:p>
    <w:p w:rsidR="002A2736" w:rsidRDefault="002A2736" w:rsidP="00A763AD">
      <w:pPr>
        <w:spacing w:line="360" w:lineRule="auto"/>
        <w:rPr>
          <w:sz w:val="24"/>
          <w:szCs w:val="24"/>
        </w:rPr>
      </w:pPr>
    </w:p>
    <w:p w:rsidR="002A2736" w:rsidRDefault="002A2736" w:rsidP="00A763AD">
      <w:pPr>
        <w:spacing w:line="360" w:lineRule="auto"/>
        <w:rPr>
          <w:sz w:val="24"/>
          <w:szCs w:val="24"/>
        </w:rPr>
      </w:pPr>
    </w:p>
    <w:p w:rsidR="002A2736" w:rsidRDefault="002A2736" w:rsidP="002A2736">
      <w:pPr>
        <w:autoSpaceDE w:val="0"/>
        <w:autoSpaceDN w:val="0"/>
        <w:adjustRightInd w:val="0"/>
        <w:spacing w:after="0" w:line="240" w:lineRule="auto"/>
        <w:jc w:val="center"/>
        <w:rPr>
          <w:rFonts w:ascii="MS Sans Serif" w:hAnsi="MS Sans Serif" w:cs="MS Sans Serif"/>
          <w:b/>
          <w:bCs/>
          <w:color w:val="000000"/>
          <w:sz w:val="28"/>
          <w:szCs w:val="28"/>
          <w:u w:val="single"/>
        </w:rPr>
      </w:pPr>
      <w:r>
        <w:rPr>
          <w:rFonts w:ascii="MS Sans Serif" w:hAnsi="MS Sans Serif" w:cs="MS Sans Serif"/>
          <w:b/>
          <w:bCs/>
          <w:color w:val="000000"/>
          <w:sz w:val="28"/>
          <w:szCs w:val="28"/>
          <w:u w:val="single"/>
        </w:rPr>
        <w:lastRenderedPageBreak/>
        <w:t>QUESTION NO:  262</w:t>
      </w:r>
    </w:p>
    <w:p w:rsidR="002A2736" w:rsidRDefault="002A2736" w:rsidP="002A2736">
      <w:pPr>
        <w:autoSpaceDE w:val="0"/>
        <w:autoSpaceDN w:val="0"/>
        <w:adjustRightInd w:val="0"/>
        <w:spacing w:after="0" w:line="240" w:lineRule="auto"/>
        <w:ind w:left="2340"/>
        <w:rPr>
          <w:rFonts w:ascii="MS Sans Serif" w:hAnsi="MS Sans Serif" w:cs="MS Sans Serif"/>
          <w:b/>
          <w:bCs/>
          <w:color w:val="000000"/>
          <w:sz w:val="28"/>
          <w:szCs w:val="28"/>
          <w:u w:val="single"/>
        </w:rPr>
      </w:pPr>
    </w:p>
    <w:p w:rsidR="002A2736" w:rsidRDefault="002A2736" w:rsidP="002A2736">
      <w:pPr>
        <w:autoSpaceDE w:val="0"/>
        <w:autoSpaceDN w:val="0"/>
        <w:adjustRightInd w:val="0"/>
        <w:spacing w:after="0" w:line="240" w:lineRule="auto"/>
        <w:jc w:val="center"/>
        <w:rPr>
          <w:rFonts w:ascii="MS Sans Serif" w:hAnsi="MS Sans Serif" w:cs="MS Sans Serif"/>
          <w:color w:val="000000"/>
          <w:sz w:val="28"/>
          <w:szCs w:val="28"/>
        </w:rPr>
      </w:pPr>
      <w:r>
        <w:rPr>
          <w:rFonts w:ascii="MS Sans Serif" w:hAnsi="MS Sans Serif" w:cs="MS Sans Serif"/>
          <w:b/>
          <w:bCs/>
          <w:color w:val="000000"/>
          <w:sz w:val="28"/>
          <w:szCs w:val="28"/>
        </w:rPr>
        <w:t>DÁIL QUESTION</w:t>
      </w:r>
      <w:r>
        <w:rPr>
          <w:rFonts w:ascii="MS Sans Serif" w:hAnsi="MS Sans Serif" w:cs="MS Sans Serif"/>
          <w:color w:val="000000"/>
          <w:sz w:val="28"/>
          <w:szCs w:val="28"/>
        </w:rPr>
        <w:t xml:space="preserve"> addressed to the Minister for Housing, Planning and Local Government (Deputy Eoghan Murphy)</w:t>
      </w:r>
    </w:p>
    <w:p w:rsidR="002A2736" w:rsidRDefault="002A2736" w:rsidP="002A2736">
      <w:pPr>
        <w:autoSpaceDE w:val="0"/>
        <w:autoSpaceDN w:val="0"/>
        <w:adjustRightInd w:val="0"/>
        <w:spacing w:after="0" w:line="240" w:lineRule="auto"/>
        <w:jc w:val="center"/>
        <w:rPr>
          <w:rFonts w:ascii="MS Sans Serif" w:hAnsi="MS Sans Serif" w:cs="MS Sans Serif"/>
          <w:color w:val="000000"/>
          <w:sz w:val="28"/>
          <w:szCs w:val="28"/>
        </w:rPr>
      </w:pPr>
      <w:r>
        <w:rPr>
          <w:rFonts w:ascii="MS Sans Serif" w:hAnsi="MS Sans Serif" w:cs="MS Sans Serif"/>
          <w:color w:val="000000"/>
          <w:sz w:val="28"/>
          <w:szCs w:val="28"/>
        </w:rPr>
        <w:t>by Deputy Darragh O'Brien</w:t>
      </w:r>
    </w:p>
    <w:p w:rsidR="002A2736" w:rsidRDefault="002A2736" w:rsidP="002A2736">
      <w:pPr>
        <w:autoSpaceDE w:val="0"/>
        <w:autoSpaceDN w:val="0"/>
        <w:adjustRightInd w:val="0"/>
        <w:spacing w:after="0" w:line="240" w:lineRule="auto"/>
        <w:jc w:val="center"/>
        <w:rPr>
          <w:rFonts w:ascii="MS Sans Serif" w:hAnsi="MS Sans Serif" w:cs="MS Sans Serif"/>
          <w:color w:val="000000"/>
          <w:sz w:val="20"/>
          <w:szCs w:val="20"/>
        </w:rPr>
      </w:pPr>
      <w:r>
        <w:rPr>
          <w:rFonts w:ascii="MS Sans Serif" w:hAnsi="MS Sans Serif" w:cs="MS Sans Serif"/>
          <w:color w:val="000000"/>
          <w:sz w:val="28"/>
          <w:szCs w:val="28"/>
        </w:rPr>
        <w:t xml:space="preserve">for </w:t>
      </w:r>
      <w:r>
        <w:rPr>
          <w:rFonts w:ascii="MS Sans Serif" w:hAnsi="MS Sans Serif" w:cs="MS Sans Serif"/>
          <w:b/>
          <w:bCs/>
          <w:color w:val="000000"/>
          <w:sz w:val="28"/>
          <w:szCs w:val="28"/>
        </w:rPr>
        <w:t>WRITTEN ANSWER</w:t>
      </w:r>
      <w:r>
        <w:rPr>
          <w:rFonts w:ascii="MS Sans Serif" w:hAnsi="MS Sans Serif" w:cs="MS Sans Serif"/>
          <w:color w:val="000000"/>
          <w:sz w:val="28"/>
          <w:szCs w:val="28"/>
        </w:rPr>
        <w:t xml:space="preserve"> on </w:t>
      </w:r>
      <w:r>
        <w:rPr>
          <w:rFonts w:ascii="MS Sans Serif" w:hAnsi="MS Sans Serif" w:cs="MS Sans Serif"/>
          <w:b/>
          <w:bCs/>
          <w:color w:val="000000"/>
          <w:sz w:val="28"/>
          <w:szCs w:val="28"/>
        </w:rPr>
        <w:t>21/11/2019</w:t>
      </w:r>
      <w:r>
        <w:rPr>
          <w:rFonts w:ascii="MS Sans Serif" w:hAnsi="MS Sans Serif" w:cs="MS Sans Serif"/>
          <w:color w:val="000000"/>
          <w:sz w:val="28"/>
          <w:szCs w:val="28"/>
        </w:rPr>
        <w:t xml:space="preserve"> </w:t>
      </w:r>
      <w:r>
        <w:rPr>
          <w:rFonts w:ascii="MS Sans Serif" w:hAnsi="MS Sans Serif" w:cs="MS Sans Serif"/>
          <w:color w:val="000000"/>
          <w:sz w:val="20"/>
          <w:szCs w:val="20"/>
        </w:rPr>
        <w:t xml:space="preserve"> </w:t>
      </w:r>
    </w:p>
    <w:p w:rsidR="002A2736" w:rsidRDefault="002A2736" w:rsidP="002A2736">
      <w:pPr>
        <w:autoSpaceDE w:val="0"/>
        <w:autoSpaceDN w:val="0"/>
        <w:adjustRightInd w:val="0"/>
        <w:spacing w:after="0" w:line="240" w:lineRule="auto"/>
        <w:rPr>
          <w:rFonts w:ascii="MS Sans Serif" w:hAnsi="MS Sans Serif" w:cs="MS Sans Serif"/>
          <w:color w:val="000000"/>
          <w:sz w:val="20"/>
          <w:szCs w:val="20"/>
        </w:rPr>
      </w:pPr>
    </w:p>
    <w:p w:rsidR="002A2736" w:rsidRDefault="002A2736" w:rsidP="002A2736">
      <w:pPr>
        <w:autoSpaceDE w:val="0"/>
        <w:autoSpaceDN w:val="0"/>
        <w:adjustRightInd w:val="0"/>
        <w:spacing w:after="0" w:line="240" w:lineRule="auto"/>
        <w:rPr>
          <w:rFonts w:ascii="MS Sans Serif" w:hAnsi="MS Sans Serif" w:cs="MS Sans Serif"/>
          <w:color w:val="000000"/>
          <w:sz w:val="20"/>
          <w:szCs w:val="20"/>
        </w:rPr>
      </w:pPr>
      <w:r>
        <w:rPr>
          <w:rFonts w:ascii="MS Sans Serif" w:hAnsi="MS Sans Serif" w:cs="MS Sans Serif"/>
          <w:color w:val="000000"/>
          <w:sz w:val="20"/>
          <w:szCs w:val="20"/>
        </w:rPr>
        <w:t xml:space="preserve"> </w:t>
      </w:r>
    </w:p>
    <w:p w:rsidR="002A2736" w:rsidRDefault="002A2736" w:rsidP="002A2736">
      <w:pPr>
        <w:autoSpaceDE w:val="0"/>
        <w:autoSpaceDN w:val="0"/>
        <w:adjustRightInd w:val="0"/>
        <w:spacing w:after="0" w:line="240" w:lineRule="auto"/>
        <w:rPr>
          <w:rFonts w:ascii="MS Sans Serif" w:hAnsi="MS Sans Serif" w:cs="MS Sans Serif"/>
          <w:color w:val="000000"/>
          <w:sz w:val="28"/>
          <w:szCs w:val="28"/>
        </w:rPr>
      </w:pPr>
      <w:r>
        <w:rPr>
          <w:rFonts w:ascii="MS Sans Serif" w:hAnsi="MS Sans Serif" w:cs="MS Sans Serif"/>
          <w:color w:val="000000"/>
          <w:sz w:val="20"/>
          <w:szCs w:val="20"/>
        </w:rPr>
        <w:t xml:space="preserve"> </w:t>
      </w:r>
      <w:r>
        <w:rPr>
          <w:rFonts w:ascii="MS Sans Serif" w:hAnsi="MS Sans Serif" w:cs="MS Sans Serif"/>
          <w:color w:val="000000"/>
          <w:sz w:val="28"/>
          <w:szCs w:val="28"/>
        </w:rPr>
        <w:t>To ask the Minister for Housing; Planning and Local Government the average monthly housing assistance payment for each quarter of 2019 to date; the average monthly HAP payment for each county; the number of recipients by county for each quarter of 2019 to date, in tabular form; and if he will make a statement on the matter.</w:t>
      </w:r>
    </w:p>
    <w:p w:rsidR="002A2736" w:rsidRDefault="002A2736" w:rsidP="002A2736">
      <w:pPr>
        <w:autoSpaceDE w:val="0"/>
        <w:autoSpaceDN w:val="0"/>
        <w:adjustRightInd w:val="0"/>
        <w:spacing w:after="0" w:line="240" w:lineRule="auto"/>
        <w:rPr>
          <w:rFonts w:ascii="MS Sans Serif" w:hAnsi="MS Sans Serif" w:cs="MS Sans Serif"/>
          <w:color w:val="0000FF"/>
          <w:sz w:val="28"/>
          <w:szCs w:val="28"/>
        </w:rPr>
      </w:pPr>
      <w:r>
        <w:rPr>
          <w:rFonts w:ascii="MS Sans Serif" w:hAnsi="MS Sans Serif" w:cs="MS Sans Serif"/>
          <w:color w:val="0000FF"/>
          <w:sz w:val="28"/>
          <w:szCs w:val="28"/>
        </w:rPr>
        <w:t xml:space="preserve">  </w:t>
      </w:r>
    </w:p>
    <w:p w:rsidR="002A2736" w:rsidRDefault="002A2736" w:rsidP="002A2736">
      <w:pPr>
        <w:autoSpaceDE w:val="0"/>
        <w:autoSpaceDN w:val="0"/>
        <w:adjustRightInd w:val="0"/>
        <w:spacing w:after="0" w:line="240" w:lineRule="auto"/>
        <w:rPr>
          <w:rFonts w:ascii="MS Sans Serif" w:hAnsi="MS Sans Serif" w:cs="MS Sans Serif"/>
          <w:b/>
          <w:bCs/>
          <w:color w:val="800000"/>
          <w:sz w:val="28"/>
          <w:szCs w:val="28"/>
          <w:u w:val="single"/>
        </w:rPr>
      </w:pPr>
      <w:r>
        <w:rPr>
          <w:rFonts w:ascii="MS Sans Serif" w:hAnsi="MS Sans Serif" w:cs="MS Sans Serif"/>
          <w:b/>
          <w:bCs/>
          <w:color w:val="800000"/>
          <w:sz w:val="28"/>
          <w:szCs w:val="28"/>
          <w:u w:val="single"/>
        </w:rPr>
        <w:t>REPLY.</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Housing Assistance Payment (HAP) plays a vital role in housing eligible families and individuals.  At the end of Q2 2019, over 62,700 HAP tenancies had been set-up since the scheme commenced, of which there were more than 48,000 households actively in receipt of HAP support and over 28,000 separate landlords and agents providing accommodation to households supported by the scheme.  </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Details of the average monthly landlord payment by local authority area and the number of active tenancies at the end of Quarters 1 and 2 2019, are set out in the table below. Information in respect of Quarter 3 2019 is currently being compiled and will be available shortly.</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4"/>
          <w:szCs w:val="24"/>
        </w:rPr>
      </w:pPr>
    </w:p>
    <w:tbl>
      <w:tblPr>
        <w:tblW w:w="5000" w:type="pct"/>
        <w:tblLayout w:type="fixed"/>
        <w:tblCellMar>
          <w:left w:w="0" w:type="dxa"/>
          <w:right w:w="0" w:type="dxa"/>
        </w:tblCellMar>
        <w:tblLook w:val="00A0" w:firstRow="1" w:lastRow="0" w:firstColumn="1" w:lastColumn="0" w:noHBand="0" w:noVBand="0"/>
      </w:tblPr>
      <w:tblGrid>
        <w:gridCol w:w="1802"/>
        <w:gridCol w:w="1802"/>
        <w:gridCol w:w="1802"/>
        <w:gridCol w:w="1802"/>
        <w:gridCol w:w="1802"/>
      </w:tblGrid>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Local       Authority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Average landlord payment Q1     2019</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No. of Active Tenancies Q1 2019</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Average landlord payment Q2     2019</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No. of Active Tenancies Q2 2019</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Carlow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554</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707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555</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743</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Cavan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455</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301</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456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322</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Clare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465</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1,332</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467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1,344</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Cork City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774</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2,167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791</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2,546</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Cork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737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3,427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732</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3,228</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Donegal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394</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1,727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395</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1,734</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Dublin City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1,292</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2,594</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1,292</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2,904</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proofErr w:type="spellStart"/>
            <w:r>
              <w:rPr>
                <w:rFonts w:ascii="Tms Rmn" w:hAnsi="Tms Rmn" w:cs="Tms Rmn"/>
                <w:color w:val="000000"/>
                <w:sz w:val="24"/>
                <w:szCs w:val="24"/>
              </w:rPr>
              <w:t>Dún</w:t>
            </w:r>
            <w:proofErr w:type="spellEnd"/>
            <w:r>
              <w:rPr>
                <w:rFonts w:ascii="Tms Rmn" w:hAnsi="Tms Rmn" w:cs="Tms Rmn"/>
                <w:color w:val="000000"/>
                <w:sz w:val="24"/>
                <w:szCs w:val="24"/>
              </w:rPr>
              <w:t xml:space="preserve"> Laoghaire </w:t>
            </w:r>
            <w:proofErr w:type="spellStart"/>
            <w:r>
              <w:rPr>
                <w:rFonts w:ascii="Tms Rmn" w:hAnsi="Tms Rmn" w:cs="Tms Rmn"/>
                <w:color w:val="000000"/>
                <w:sz w:val="24"/>
                <w:szCs w:val="24"/>
              </w:rPr>
              <w:t>Rathdown</w:t>
            </w:r>
            <w:proofErr w:type="spellEnd"/>
            <w:r>
              <w:rPr>
                <w:rFonts w:ascii="Tms Rmn" w:hAnsi="Tms Rmn" w:cs="Tms Rmn"/>
                <w:color w:val="000000"/>
                <w:sz w:val="24"/>
                <w:szCs w:val="24"/>
              </w:rPr>
              <w:t xml:space="preserve">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1,359</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437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1,357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468</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Fingal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1,340</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1,436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1,348</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1,581</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Galway City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807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1,465</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813</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1,544</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Galway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711</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1,052</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717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1,093</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Kerry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516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1,002</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517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1,076</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Kildare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921</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2,042</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923</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2,109</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Kilkenny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578</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866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583</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883</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Laois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581</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715</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589</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788</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Leitrim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414</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223</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416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237</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Limerick City and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584</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2,219</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589</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2264</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Longford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408</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297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412</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306</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Louth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846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2,786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860</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2,890</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Mayo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506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1,158</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510</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1,201</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Meath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937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1,804</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944</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1,915</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Monaghan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490</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555</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498</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579</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Offaly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515</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862</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520</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855</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Roscommon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457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370</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461</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391</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Sligo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506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677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509</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712</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South Dublin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1,230</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2657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1,245</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2,701</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Tipperary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492</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1,772</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495</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1,792</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Waterford City and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513</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1,826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517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1,863</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Westmeath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559</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716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560</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780</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Wexford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527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1,131</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529</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1,222</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Wicklow County Council</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1,005</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1,036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1,001</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1,197</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Average Monthly Payment</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817</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 xml:space="preserve"> 829</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 xml:space="preserve">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DRHE*</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4,556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4,993</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Total Active Tenancies</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45,915</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48,261</w:t>
            </w:r>
          </w:p>
        </w:tc>
      </w:tr>
    </w:tbl>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b/>
          <w:bCs/>
          <w:color w:val="000000"/>
          <w:sz w:val="24"/>
          <w:szCs w:val="24"/>
        </w:rPr>
      </w:pP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 * The average monthly landlord payment for tenancies set up by the Dublin Region Homeless Executive (DRHE) are recorded against the individual local authority.</w:t>
      </w: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My Department continues to keep the operation of the HAP scheme under review. In general, I am satisfied with the operation of the HAP and I consider it to be a key vehicle for meeting housing need and fulfilling the ambitious programme outlined under Rebuilding Ireland.</w:t>
      </w: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 </w:t>
      </w: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 </w:t>
      </w: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p>
    <w:p w:rsidR="002A2736" w:rsidRDefault="002A2736" w:rsidP="002A2736">
      <w:pPr>
        <w:autoSpaceDE w:val="0"/>
        <w:autoSpaceDN w:val="0"/>
        <w:adjustRightInd w:val="0"/>
        <w:spacing w:after="0" w:line="240" w:lineRule="auto"/>
        <w:jc w:val="center"/>
        <w:rPr>
          <w:rFonts w:ascii="MS Sans Serif" w:hAnsi="MS Sans Serif" w:cs="MS Sans Serif"/>
          <w:b/>
          <w:bCs/>
          <w:color w:val="000000"/>
          <w:sz w:val="28"/>
          <w:szCs w:val="28"/>
          <w:u w:val="single"/>
        </w:rPr>
      </w:pPr>
      <w:r>
        <w:rPr>
          <w:rFonts w:ascii="MS Sans Serif" w:hAnsi="MS Sans Serif" w:cs="MS Sans Serif"/>
          <w:b/>
          <w:bCs/>
          <w:color w:val="000000"/>
          <w:sz w:val="28"/>
          <w:szCs w:val="28"/>
          <w:u w:val="single"/>
        </w:rPr>
        <w:t>QUESTION NO:  263</w:t>
      </w:r>
    </w:p>
    <w:p w:rsidR="002A2736" w:rsidRDefault="002A2736" w:rsidP="002A2736">
      <w:pPr>
        <w:autoSpaceDE w:val="0"/>
        <w:autoSpaceDN w:val="0"/>
        <w:adjustRightInd w:val="0"/>
        <w:spacing w:after="0" w:line="240" w:lineRule="auto"/>
        <w:ind w:left="2340"/>
        <w:rPr>
          <w:rFonts w:ascii="MS Sans Serif" w:hAnsi="MS Sans Serif" w:cs="MS Sans Serif"/>
          <w:b/>
          <w:bCs/>
          <w:color w:val="000000"/>
          <w:sz w:val="28"/>
          <w:szCs w:val="28"/>
          <w:u w:val="single"/>
        </w:rPr>
      </w:pPr>
    </w:p>
    <w:p w:rsidR="002A2736" w:rsidRDefault="002A2736" w:rsidP="002A2736">
      <w:pPr>
        <w:autoSpaceDE w:val="0"/>
        <w:autoSpaceDN w:val="0"/>
        <w:adjustRightInd w:val="0"/>
        <w:spacing w:after="0" w:line="240" w:lineRule="auto"/>
        <w:jc w:val="center"/>
        <w:rPr>
          <w:rFonts w:ascii="MS Sans Serif" w:hAnsi="MS Sans Serif" w:cs="MS Sans Serif"/>
          <w:color w:val="000000"/>
          <w:sz w:val="28"/>
          <w:szCs w:val="28"/>
        </w:rPr>
      </w:pPr>
      <w:r>
        <w:rPr>
          <w:rFonts w:ascii="MS Sans Serif" w:hAnsi="MS Sans Serif" w:cs="MS Sans Serif"/>
          <w:b/>
          <w:bCs/>
          <w:color w:val="000000"/>
          <w:sz w:val="28"/>
          <w:szCs w:val="28"/>
        </w:rPr>
        <w:t>DÁIL QUESTION</w:t>
      </w:r>
      <w:r>
        <w:rPr>
          <w:rFonts w:ascii="MS Sans Serif" w:hAnsi="MS Sans Serif" w:cs="MS Sans Serif"/>
          <w:color w:val="000000"/>
          <w:sz w:val="28"/>
          <w:szCs w:val="28"/>
        </w:rPr>
        <w:t xml:space="preserve"> addressed to the Minister for Housing, Planning and Local Government (Deputy Eoghan Murphy)</w:t>
      </w:r>
    </w:p>
    <w:p w:rsidR="002A2736" w:rsidRDefault="002A2736" w:rsidP="002A2736">
      <w:pPr>
        <w:autoSpaceDE w:val="0"/>
        <w:autoSpaceDN w:val="0"/>
        <w:adjustRightInd w:val="0"/>
        <w:spacing w:after="0" w:line="240" w:lineRule="auto"/>
        <w:jc w:val="center"/>
        <w:rPr>
          <w:rFonts w:ascii="MS Sans Serif" w:hAnsi="MS Sans Serif" w:cs="MS Sans Serif"/>
          <w:color w:val="000000"/>
          <w:sz w:val="28"/>
          <w:szCs w:val="28"/>
        </w:rPr>
      </w:pPr>
      <w:r>
        <w:rPr>
          <w:rFonts w:ascii="MS Sans Serif" w:hAnsi="MS Sans Serif" w:cs="MS Sans Serif"/>
          <w:color w:val="000000"/>
          <w:sz w:val="28"/>
          <w:szCs w:val="28"/>
        </w:rPr>
        <w:t>by Deputy Darragh O'Brien</w:t>
      </w:r>
    </w:p>
    <w:p w:rsidR="002A2736" w:rsidRDefault="002A2736" w:rsidP="002A2736">
      <w:pPr>
        <w:autoSpaceDE w:val="0"/>
        <w:autoSpaceDN w:val="0"/>
        <w:adjustRightInd w:val="0"/>
        <w:spacing w:after="0" w:line="240" w:lineRule="auto"/>
        <w:jc w:val="center"/>
        <w:rPr>
          <w:rFonts w:ascii="MS Sans Serif" w:hAnsi="MS Sans Serif" w:cs="MS Sans Serif"/>
          <w:color w:val="000000"/>
          <w:sz w:val="20"/>
          <w:szCs w:val="20"/>
        </w:rPr>
      </w:pPr>
      <w:r>
        <w:rPr>
          <w:rFonts w:ascii="MS Sans Serif" w:hAnsi="MS Sans Serif" w:cs="MS Sans Serif"/>
          <w:color w:val="000000"/>
          <w:sz w:val="28"/>
          <w:szCs w:val="28"/>
        </w:rPr>
        <w:t xml:space="preserve">for </w:t>
      </w:r>
      <w:r>
        <w:rPr>
          <w:rFonts w:ascii="MS Sans Serif" w:hAnsi="MS Sans Serif" w:cs="MS Sans Serif"/>
          <w:b/>
          <w:bCs/>
          <w:color w:val="000000"/>
          <w:sz w:val="28"/>
          <w:szCs w:val="28"/>
        </w:rPr>
        <w:t>WRITTEN ANSWER</w:t>
      </w:r>
      <w:r>
        <w:rPr>
          <w:rFonts w:ascii="MS Sans Serif" w:hAnsi="MS Sans Serif" w:cs="MS Sans Serif"/>
          <w:color w:val="000000"/>
          <w:sz w:val="28"/>
          <w:szCs w:val="28"/>
        </w:rPr>
        <w:t xml:space="preserve"> on </w:t>
      </w:r>
      <w:r>
        <w:rPr>
          <w:rFonts w:ascii="MS Sans Serif" w:hAnsi="MS Sans Serif" w:cs="MS Sans Serif"/>
          <w:b/>
          <w:bCs/>
          <w:color w:val="000000"/>
          <w:sz w:val="28"/>
          <w:szCs w:val="28"/>
        </w:rPr>
        <w:t>21/11/2019</w:t>
      </w:r>
      <w:r>
        <w:rPr>
          <w:rFonts w:ascii="MS Sans Serif" w:hAnsi="MS Sans Serif" w:cs="MS Sans Serif"/>
          <w:color w:val="000000"/>
          <w:sz w:val="28"/>
          <w:szCs w:val="28"/>
        </w:rPr>
        <w:t xml:space="preserve"> </w:t>
      </w:r>
      <w:r>
        <w:rPr>
          <w:rFonts w:ascii="MS Sans Serif" w:hAnsi="MS Sans Serif" w:cs="MS Sans Serif"/>
          <w:color w:val="000000"/>
          <w:sz w:val="20"/>
          <w:szCs w:val="20"/>
        </w:rPr>
        <w:t xml:space="preserve"> </w:t>
      </w:r>
    </w:p>
    <w:p w:rsidR="002A2736" w:rsidRDefault="002A2736" w:rsidP="002A2736">
      <w:pPr>
        <w:autoSpaceDE w:val="0"/>
        <w:autoSpaceDN w:val="0"/>
        <w:adjustRightInd w:val="0"/>
        <w:spacing w:after="0" w:line="240" w:lineRule="auto"/>
        <w:rPr>
          <w:rFonts w:ascii="MS Sans Serif" w:hAnsi="MS Sans Serif" w:cs="MS Sans Serif"/>
          <w:color w:val="000000"/>
          <w:sz w:val="20"/>
          <w:szCs w:val="20"/>
        </w:rPr>
      </w:pPr>
    </w:p>
    <w:p w:rsidR="002A2736" w:rsidRDefault="002A2736" w:rsidP="002A2736">
      <w:pPr>
        <w:autoSpaceDE w:val="0"/>
        <w:autoSpaceDN w:val="0"/>
        <w:adjustRightInd w:val="0"/>
        <w:spacing w:after="0" w:line="240" w:lineRule="auto"/>
        <w:rPr>
          <w:rFonts w:ascii="MS Sans Serif" w:hAnsi="MS Sans Serif" w:cs="MS Sans Serif"/>
          <w:color w:val="000000"/>
          <w:sz w:val="20"/>
          <w:szCs w:val="20"/>
        </w:rPr>
      </w:pPr>
      <w:r>
        <w:rPr>
          <w:rFonts w:ascii="MS Sans Serif" w:hAnsi="MS Sans Serif" w:cs="MS Sans Serif"/>
          <w:color w:val="000000"/>
          <w:sz w:val="20"/>
          <w:szCs w:val="20"/>
        </w:rPr>
        <w:t xml:space="preserve"> </w:t>
      </w:r>
    </w:p>
    <w:p w:rsidR="002A2736" w:rsidRDefault="002A2736" w:rsidP="002A2736">
      <w:pPr>
        <w:autoSpaceDE w:val="0"/>
        <w:autoSpaceDN w:val="0"/>
        <w:adjustRightInd w:val="0"/>
        <w:spacing w:after="0" w:line="240" w:lineRule="auto"/>
        <w:rPr>
          <w:rFonts w:ascii="MS Sans Serif" w:hAnsi="MS Sans Serif" w:cs="MS Sans Serif"/>
          <w:color w:val="000000"/>
          <w:sz w:val="28"/>
          <w:szCs w:val="28"/>
        </w:rPr>
      </w:pPr>
      <w:r>
        <w:rPr>
          <w:rFonts w:ascii="MS Sans Serif" w:hAnsi="MS Sans Serif" w:cs="MS Sans Serif"/>
          <w:color w:val="000000"/>
          <w:sz w:val="20"/>
          <w:szCs w:val="20"/>
        </w:rPr>
        <w:t xml:space="preserve"> </w:t>
      </w:r>
      <w:r>
        <w:rPr>
          <w:rFonts w:ascii="MS Sans Serif" w:hAnsi="MS Sans Serif" w:cs="MS Sans Serif"/>
          <w:color w:val="000000"/>
          <w:sz w:val="28"/>
          <w:szCs w:val="28"/>
        </w:rPr>
        <w:t>To ask the Minister for Housing; Planning and Local Government the number of households that have left the housing assistance payment scheme per annum from 2015 to 2018 and to date in 2019; and if he will make a statement on the matter.</w:t>
      </w:r>
    </w:p>
    <w:p w:rsidR="002A2736" w:rsidRDefault="002A2736" w:rsidP="002A2736">
      <w:pPr>
        <w:autoSpaceDE w:val="0"/>
        <w:autoSpaceDN w:val="0"/>
        <w:adjustRightInd w:val="0"/>
        <w:spacing w:after="0" w:line="240" w:lineRule="auto"/>
        <w:rPr>
          <w:rFonts w:ascii="MS Sans Serif" w:hAnsi="MS Sans Serif" w:cs="MS Sans Serif"/>
          <w:color w:val="0000FF"/>
          <w:sz w:val="28"/>
          <w:szCs w:val="28"/>
        </w:rPr>
      </w:pPr>
      <w:r>
        <w:rPr>
          <w:rFonts w:ascii="MS Sans Serif" w:hAnsi="MS Sans Serif" w:cs="MS Sans Serif"/>
          <w:color w:val="0000FF"/>
          <w:sz w:val="28"/>
          <w:szCs w:val="28"/>
        </w:rPr>
        <w:t xml:space="preserve">  </w:t>
      </w:r>
    </w:p>
    <w:p w:rsidR="002A2736" w:rsidRDefault="002A2736" w:rsidP="002A2736">
      <w:pPr>
        <w:autoSpaceDE w:val="0"/>
        <w:autoSpaceDN w:val="0"/>
        <w:adjustRightInd w:val="0"/>
        <w:spacing w:after="0" w:line="240" w:lineRule="auto"/>
        <w:rPr>
          <w:rFonts w:ascii="MS Sans Serif" w:hAnsi="MS Sans Serif" w:cs="MS Sans Serif"/>
          <w:b/>
          <w:bCs/>
          <w:color w:val="800000"/>
          <w:sz w:val="28"/>
          <w:szCs w:val="28"/>
          <w:u w:val="single"/>
        </w:rPr>
      </w:pPr>
      <w:r>
        <w:rPr>
          <w:rFonts w:ascii="MS Sans Serif" w:hAnsi="MS Sans Serif" w:cs="MS Sans Serif"/>
          <w:b/>
          <w:bCs/>
          <w:color w:val="800000"/>
          <w:sz w:val="28"/>
          <w:szCs w:val="28"/>
          <w:u w:val="single"/>
        </w:rPr>
        <w:t>REPLY.</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Housing Assistance Payment (HAP) plays a vital role in housing eligible families and individuals.  At the end of Q2 2019, over 62,700 HAP tenancies had been set-up since the scheme commenced, of which there were more than 48,000 households actively in receipt of HAP support and over 28,000 separate landlords and agents providing accommodation to households supported by the scheme.  </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HAP supported tenancies are agreed between the landlord and the tenant. It is important to note that the local authority is not a party to the tenancy and has no role in its agreement. There is no limitation placed by the scheme on the length of tenancy that can be supported </w:t>
      </w:r>
      <w:proofErr w:type="gramStart"/>
      <w:r>
        <w:rPr>
          <w:rFonts w:ascii="Tms Rmn" w:hAnsi="Tms Rmn" w:cs="Tms Rmn"/>
          <w:color w:val="000000"/>
          <w:sz w:val="24"/>
          <w:szCs w:val="24"/>
        </w:rPr>
        <w:t>by  HAP</w:t>
      </w:r>
      <w:proofErr w:type="gramEnd"/>
      <w:r>
        <w:rPr>
          <w:rFonts w:ascii="Tms Rmn" w:hAnsi="Tms Rmn" w:cs="Tms Rmn"/>
          <w:color w:val="000000"/>
          <w:sz w:val="24"/>
          <w:szCs w:val="24"/>
        </w:rPr>
        <w:t xml:space="preserve">. However, as with other private rental tenancies, the Residential Tenancies Act 2004 (as amended) governs the relationship between landlord and tenant and the length of the tenancy is a matter that must be agreed between the landlord and tenant in that context. </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At the end of Q2 2019, a total of 14,478 households were reported on the HAP Shared Services Centre system as having exited HAP. This included tenant led exits; compliance exits; transfers to other forms of social housing; and landlord exits. This report is based on cessations, as submitted by local authorities. </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Details of the number of Closed/Exit Tenancies by year, are set out in the table below:</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4"/>
          <w:szCs w:val="24"/>
        </w:rPr>
      </w:pPr>
    </w:p>
    <w:tbl>
      <w:tblPr>
        <w:tblW w:w="5000" w:type="pct"/>
        <w:tblLayout w:type="fixed"/>
        <w:tblCellMar>
          <w:left w:w="0" w:type="dxa"/>
          <w:right w:w="0" w:type="dxa"/>
        </w:tblCellMar>
        <w:tblLook w:val="00A0" w:firstRow="1" w:lastRow="0" w:firstColumn="1" w:lastColumn="0" w:noHBand="0" w:noVBand="0"/>
      </w:tblPr>
      <w:tblGrid>
        <w:gridCol w:w="4505"/>
        <w:gridCol w:w="4505"/>
      </w:tblGrid>
      <w:tr w:rsidR="002A2736">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 xml:space="preserve">   Year   </w:t>
            </w:r>
          </w:p>
        </w:tc>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 xml:space="preserve">   No. </w:t>
            </w:r>
            <w:proofErr w:type="gramStart"/>
            <w:r>
              <w:rPr>
                <w:rFonts w:ascii="Tms Rmn" w:hAnsi="Tms Rmn" w:cs="Tms Rmn"/>
                <w:b/>
                <w:bCs/>
                <w:color w:val="000000"/>
                <w:sz w:val="24"/>
                <w:szCs w:val="24"/>
              </w:rPr>
              <w:t>of  Closed</w:t>
            </w:r>
            <w:proofErr w:type="gramEnd"/>
            <w:r>
              <w:rPr>
                <w:rFonts w:ascii="Tms Rmn" w:hAnsi="Tms Rmn" w:cs="Tms Rmn"/>
                <w:b/>
                <w:bCs/>
                <w:color w:val="000000"/>
                <w:sz w:val="24"/>
                <w:szCs w:val="24"/>
              </w:rPr>
              <w:t xml:space="preserve">/Exit Tenancies   </w:t>
            </w:r>
          </w:p>
        </w:tc>
      </w:tr>
      <w:tr w:rsidR="002A2736">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2015</w:t>
            </w:r>
          </w:p>
        </w:tc>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312</w:t>
            </w:r>
          </w:p>
        </w:tc>
      </w:tr>
      <w:tr w:rsidR="002A2736">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2016</w:t>
            </w:r>
          </w:p>
        </w:tc>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1,425</w:t>
            </w:r>
          </w:p>
        </w:tc>
      </w:tr>
      <w:tr w:rsidR="002A2736">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2017</w:t>
            </w:r>
          </w:p>
        </w:tc>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3,181</w:t>
            </w:r>
          </w:p>
        </w:tc>
      </w:tr>
      <w:tr w:rsidR="002A2736">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2018</w:t>
            </w:r>
          </w:p>
        </w:tc>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5,711</w:t>
            </w:r>
          </w:p>
        </w:tc>
      </w:tr>
      <w:tr w:rsidR="002A2736">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2019 (Q2)</w:t>
            </w:r>
          </w:p>
        </w:tc>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3,849 (Q2)</w:t>
            </w:r>
          </w:p>
        </w:tc>
      </w:tr>
      <w:tr w:rsidR="002A2736">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 xml:space="preserve">Total </w:t>
            </w:r>
          </w:p>
        </w:tc>
        <w:tc>
          <w:tcPr>
            <w:tcW w:w="25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14,478</w:t>
            </w:r>
          </w:p>
        </w:tc>
      </w:tr>
    </w:tbl>
    <w:p w:rsidR="002A2736" w:rsidRDefault="002A2736" w:rsidP="002A2736">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In cases where a HAP supported tenancy ends, the tenant can find alternative accommodation and retain their eligibility for HAP support or the local authority may decide to offer another form of social housing support to the tenant in accordance with their scheme of letting priorities.   </w:t>
      </w: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lastRenderedPageBreak/>
        <w:t>My Department continues to keep the operation of the HAP scheme under review. In general, I am satisfied with the operation of the HAP and I consider it to be a key vehicle for meeting housing need and fulfilling the ambitious programme outlined under Rebuilding Ireland.</w:t>
      </w: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p>
    <w:p w:rsidR="002A2736" w:rsidRDefault="002A2736" w:rsidP="002A2736">
      <w:pPr>
        <w:autoSpaceDE w:val="0"/>
        <w:autoSpaceDN w:val="0"/>
        <w:adjustRightInd w:val="0"/>
        <w:spacing w:after="0" w:line="240" w:lineRule="auto"/>
        <w:jc w:val="center"/>
        <w:rPr>
          <w:rFonts w:ascii="MS Sans Serif" w:hAnsi="MS Sans Serif" w:cs="MS Sans Serif"/>
          <w:b/>
          <w:bCs/>
          <w:color w:val="000000"/>
          <w:sz w:val="28"/>
          <w:szCs w:val="28"/>
          <w:u w:val="single"/>
        </w:rPr>
      </w:pPr>
      <w:r>
        <w:rPr>
          <w:rFonts w:ascii="MS Sans Serif" w:hAnsi="MS Sans Serif" w:cs="MS Sans Serif"/>
          <w:b/>
          <w:bCs/>
          <w:color w:val="000000"/>
          <w:sz w:val="28"/>
          <w:szCs w:val="28"/>
          <w:u w:val="single"/>
        </w:rPr>
        <w:t>QUESTION NO:  264</w:t>
      </w:r>
    </w:p>
    <w:p w:rsidR="002A2736" w:rsidRDefault="002A2736" w:rsidP="002A2736">
      <w:pPr>
        <w:autoSpaceDE w:val="0"/>
        <w:autoSpaceDN w:val="0"/>
        <w:adjustRightInd w:val="0"/>
        <w:spacing w:after="0" w:line="240" w:lineRule="auto"/>
        <w:ind w:left="2340"/>
        <w:rPr>
          <w:rFonts w:ascii="MS Sans Serif" w:hAnsi="MS Sans Serif" w:cs="MS Sans Serif"/>
          <w:b/>
          <w:bCs/>
          <w:color w:val="000000"/>
          <w:sz w:val="28"/>
          <w:szCs w:val="28"/>
          <w:u w:val="single"/>
        </w:rPr>
      </w:pPr>
    </w:p>
    <w:p w:rsidR="002A2736" w:rsidRDefault="002A2736" w:rsidP="002A2736">
      <w:pPr>
        <w:autoSpaceDE w:val="0"/>
        <w:autoSpaceDN w:val="0"/>
        <w:adjustRightInd w:val="0"/>
        <w:spacing w:after="0" w:line="240" w:lineRule="auto"/>
        <w:jc w:val="center"/>
        <w:rPr>
          <w:rFonts w:ascii="MS Sans Serif" w:hAnsi="MS Sans Serif" w:cs="MS Sans Serif"/>
          <w:color w:val="000000"/>
          <w:sz w:val="28"/>
          <w:szCs w:val="28"/>
        </w:rPr>
      </w:pPr>
      <w:r>
        <w:rPr>
          <w:rFonts w:ascii="MS Sans Serif" w:hAnsi="MS Sans Serif" w:cs="MS Sans Serif"/>
          <w:b/>
          <w:bCs/>
          <w:color w:val="000000"/>
          <w:sz w:val="28"/>
          <w:szCs w:val="28"/>
        </w:rPr>
        <w:t>DÁIL QUESTION</w:t>
      </w:r>
      <w:r>
        <w:rPr>
          <w:rFonts w:ascii="MS Sans Serif" w:hAnsi="MS Sans Serif" w:cs="MS Sans Serif"/>
          <w:color w:val="000000"/>
          <w:sz w:val="28"/>
          <w:szCs w:val="28"/>
        </w:rPr>
        <w:t xml:space="preserve"> addressed to the Minister for Housing, Planning and Local Government (Deputy Eoghan Murphy)</w:t>
      </w:r>
    </w:p>
    <w:p w:rsidR="002A2736" w:rsidRDefault="002A2736" w:rsidP="002A2736">
      <w:pPr>
        <w:autoSpaceDE w:val="0"/>
        <w:autoSpaceDN w:val="0"/>
        <w:adjustRightInd w:val="0"/>
        <w:spacing w:after="0" w:line="240" w:lineRule="auto"/>
        <w:jc w:val="center"/>
        <w:rPr>
          <w:rFonts w:ascii="MS Sans Serif" w:hAnsi="MS Sans Serif" w:cs="MS Sans Serif"/>
          <w:color w:val="000000"/>
          <w:sz w:val="28"/>
          <w:szCs w:val="28"/>
        </w:rPr>
      </w:pPr>
      <w:r>
        <w:rPr>
          <w:rFonts w:ascii="MS Sans Serif" w:hAnsi="MS Sans Serif" w:cs="MS Sans Serif"/>
          <w:color w:val="000000"/>
          <w:sz w:val="28"/>
          <w:szCs w:val="28"/>
        </w:rPr>
        <w:t>by Deputy Darragh O'Brien</w:t>
      </w:r>
    </w:p>
    <w:p w:rsidR="002A2736" w:rsidRDefault="002A2736" w:rsidP="002A2736">
      <w:pPr>
        <w:autoSpaceDE w:val="0"/>
        <w:autoSpaceDN w:val="0"/>
        <w:adjustRightInd w:val="0"/>
        <w:spacing w:after="0" w:line="240" w:lineRule="auto"/>
        <w:jc w:val="center"/>
        <w:rPr>
          <w:rFonts w:ascii="MS Sans Serif" w:hAnsi="MS Sans Serif" w:cs="MS Sans Serif"/>
          <w:color w:val="000000"/>
          <w:sz w:val="20"/>
          <w:szCs w:val="20"/>
        </w:rPr>
      </w:pPr>
      <w:r>
        <w:rPr>
          <w:rFonts w:ascii="MS Sans Serif" w:hAnsi="MS Sans Serif" w:cs="MS Sans Serif"/>
          <w:color w:val="000000"/>
          <w:sz w:val="28"/>
          <w:szCs w:val="28"/>
        </w:rPr>
        <w:t xml:space="preserve">for </w:t>
      </w:r>
      <w:r>
        <w:rPr>
          <w:rFonts w:ascii="MS Sans Serif" w:hAnsi="MS Sans Serif" w:cs="MS Sans Serif"/>
          <w:b/>
          <w:bCs/>
          <w:color w:val="000000"/>
          <w:sz w:val="28"/>
          <w:szCs w:val="28"/>
        </w:rPr>
        <w:t>WRITTEN ANSWER</w:t>
      </w:r>
      <w:r>
        <w:rPr>
          <w:rFonts w:ascii="MS Sans Serif" w:hAnsi="MS Sans Serif" w:cs="MS Sans Serif"/>
          <w:color w:val="000000"/>
          <w:sz w:val="28"/>
          <w:szCs w:val="28"/>
        </w:rPr>
        <w:t xml:space="preserve"> on </w:t>
      </w:r>
      <w:r>
        <w:rPr>
          <w:rFonts w:ascii="MS Sans Serif" w:hAnsi="MS Sans Serif" w:cs="MS Sans Serif"/>
          <w:b/>
          <w:bCs/>
          <w:color w:val="000000"/>
          <w:sz w:val="28"/>
          <w:szCs w:val="28"/>
        </w:rPr>
        <w:t>21/11/2019</w:t>
      </w:r>
      <w:r>
        <w:rPr>
          <w:rFonts w:ascii="MS Sans Serif" w:hAnsi="MS Sans Serif" w:cs="MS Sans Serif"/>
          <w:color w:val="000000"/>
          <w:sz w:val="28"/>
          <w:szCs w:val="28"/>
        </w:rPr>
        <w:t xml:space="preserve"> </w:t>
      </w:r>
      <w:r>
        <w:rPr>
          <w:rFonts w:ascii="MS Sans Serif" w:hAnsi="MS Sans Serif" w:cs="MS Sans Serif"/>
          <w:color w:val="000000"/>
          <w:sz w:val="20"/>
          <w:szCs w:val="20"/>
        </w:rPr>
        <w:t xml:space="preserve"> </w:t>
      </w:r>
    </w:p>
    <w:p w:rsidR="002A2736" w:rsidRDefault="002A2736" w:rsidP="002A2736">
      <w:pPr>
        <w:autoSpaceDE w:val="0"/>
        <w:autoSpaceDN w:val="0"/>
        <w:adjustRightInd w:val="0"/>
        <w:spacing w:after="0" w:line="240" w:lineRule="auto"/>
        <w:rPr>
          <w:rFonts w:ascii="MS Sans Serif" w:hAnsi="MS Sans Serif" w:cs="MS Sans Serif"/>
          <w:color w:val="000000"/>
          <w:sz w:val="20"/>
          <w:szCs w:val="20"/>
        </w:rPr>
      </w:pPr>
    </w:p>
    <w:p w:rsidR="002A2736" w:rsidRDefault="002A2736" w:rsidP="002A2736">
      <w:pPr>
        <w:autoSpaceDE w:val="0"/>
        <w:autoSpaceDN w:val="0"/>
        <w:adjustRightInd w:val="0"/>
        <w:spacing w:after="0" w:line="240" w:lineRule="auto"/>
        <w:rPr>
          <w:rFonts w:ascii="MS Sans Serif" w:hAnsi="MS Sans Serif" w:cs="MS Sans Serif"/>
          <w:color w:val="000000"/>
          <w:sz w:val="20"/>
          <w:szCs w:val="20"/>
        </w:rPr>
      </w:pPr>
      <w:r>
        <w:rPr>
          <w:rFonts w:ascii="MS Sans Serif" w:hAnsi="MS Sans Serif" w:cs="MS Sans Serif"/>
          <w:color w:val="000000"/>
          <w:sz w:val="20"/>
          <w:szCs w:val="20"/>
        </w:rPr>
        <w:t xml:space="preserve"> </w:t>
      </w:r>
    </w:p>
    <w:p w:rsidR="002A2736" w:rsidRDefault="002A2736" w:rsidP="002A2736">
      <w:pPr>
        <w:autoSpaceDE w:val="0"/>
        <w:autoSpaceDN w:val="0"/>
        <w:adjustRightInd w:val="0"/>
        <w:spacing w:after="0" w:line="240" w:lineRule="auto"/>
        <w:rPr>
          <w:rFonts w:ascii="MS Sans Serif" w:hAnsi="MS Sans Serif" w:cs="MS Sans Serif"/>
          <w:color w:val="000000"/>
          <w:sz w:val="28"/>
          <w:szCs w:val="28"/>
        </w:rPr>
      </w:pPr>
      <w:r>
        <w:rPr>
          <w:rFonts w:ascii="MS Sans Serif" w:hAnsi="MS Sans Serif" w:cs="MS Sans Serif"/>
          <w:color w:val="000000"/>
          <w:sz w:val="20"/>
          <w:szCs w:val="20"/>
        </w:rPr>
        <w:t xml:space="preserve"> </w:t>
      </w:r>
      <w:r>
        <w:rPr>
          <w:rFonts w:ascii="MS Sans Serif" w:hAnsi="MS Sans Serif" w:cs="MS Sans Serif"/>
          <w:color w:val="000000"/>
          <w:sz w:val="28"/>
          <w:szCs w:val="28"/>
        </w:rPr>
        <w:t>To ask the Minister for Housing; Planning and Local Government the average monthly rental accommodation scheme payments for each quarter of 2019 to date; the average monthly rental assistance scheme payment for each county; the number of recipients by county for each quarter of 2019 to date, in tabular form; and if he will make a statement on the matter.</w:t>
      </w:r>
    </w:p>
    <w:p w:rsidR="002A2736" w:rsidRDefault="002A2736" w:rsidP="002A2736">
      <w:pPr>
        <w:autoSpaceDE w:val="0"/>
        <w:autoSpaceDN w:val="0"/>
        <w:adjustRightInd w:val="0"/>
        <w:spacing w:after="0" w:line="240" w:lineRule="auto"/>
        <w:rPr>
          <w:rFonts w:ascii="MS Sans Serif" w:hAnsi="MS Sans Serif" w:cs="MS Sans Serif"/>
          <w:color w:val="0000FF"/>
          <w:sz w:val="28"/>
          <w:szCs w:val="28"/>
        </w:rPr>
      </w:pPr>
      <w:r>
        <w:rPr>
          <w:rFonts w:ascii="MS Sans Serif" w:hAnsi="MS Sans Serif" w:cs="MS Sans Serif"/>
          <w:color w:val="0000FF"/>
          <w:sz w:val="28"/>
          <w:szCs w:val="28"/>
        </w:rPr>
        <w:t xml:space="preserve">  </w:t>
      </w:r>
    </w:p>
    <w:p w:rsidR="002A2736" w:rsidRDefault="002A2736" w:rsidP="002A2736">
      <w:pPr>
        <w:autoSpaceDE w:val="0"/>
        <w:autoSpaceDN w:val="0"/>
        <w:adjustRightInd w:val="0"/>
        <w:spacing w:after="0" w:line="240" w:lineRule="auto"/>
        <w:rPr>
          <w:rFonts w:ascii="MS Sans Serif" w:hAnsi="MS Sans Serif" w:cs="MS Sans Serif"/>
          <w:b/>
          <w:bCs/>
          <w:color w:val="800000"/>
          <w:sz w:val="28"/>
          <w:szCs w:val="28"/>
          <w:u w:val="single"/>
        </w:rPr>
      </w:pPr>
      <w:r>
        <w:rPr>
          <w:rFonts w:ascii="MS Sans Serif" w:hAnsi="MS Sans Serif" w:cs="MS Sans Serif"/>
          <w:b/>
          <w:bCs/>
          <w:color w:val="800000"/>
          <w:sz w:val="28"/>
          <w:szCs w:val="28"/>
          <w:u w:val="single"/>
        </w:rPr>
        <w:t>REPLY.</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The Rental Accommodation Scheme (RAS) was established in 2004 and placed responsibility on local authorities to meet the accommodation needs of people in receipt of Rent Supplement for 18 months or longer, and who are assessed as having a long-term housing need.  RAS provides a more structured, accommodation-based approach to the use of the private rented sector to meet long-term housing need, thereby eliminating dependence on temporary income support payments, i.e. rent supplement. </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The table below sets out the average monthly and quarterly expenditure under RAS for Q1 and Q2 2019 and the number of RAS tenancies in place at the end of Q1 and Q2 2019, broken down by local authority area. Data in relation to Q3 is being collated.</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RAS continues to be an effective and secure form of social housing support. While it remains a significant part of the suite of social housing options currently available to those who are assessed as </w:t>
      </w:r>
      <w:proofErr w:type="gramStart"/>
      <w:r>
        <w:rPr>
          <w:rFonts w:ascii="Tms Rmn" w:hAnsi="Tms Rmn" w:cs="Tms Rmn"/>
          <w:color w:val="000000"/>
          <w:sz w:val="24"/>
          <w:szCs w:val="24"/>
        </w:rPr>
        <w:t>being in need of</w:t>
      </w:r>
      <w:proofErr w:type="gramEnd"/>
      <w:r>
        <w:rPr>
          <w:rFonts w:ascii="Tms Rmn" w:hAnsi="Tms Rmn" w:cs="Tms Rmn"/>
          <w:color w:val="000000"/>
          <w:sz w:val="24"/>
          <w:szCs w:val="24"/>
        </w:rPr>
        <w:t xml:space="preserve"> housing support, its role as the replacement for Rent Supplement for these with a social housing need is now being increasingly fulfilled by the Housing Assistance Payment (HAP) scheme.</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 </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p>
    <w:tbl>
      <w:tblPr>
        <w:tblW w:w="5000" w:type="pct"/>
        <w:tblLayout w:type="fixed"/>
        <w:tblCellMar>
          <w:left w:w="0" w:type="dxa"/>
          <w:right w:w="0" w:type="dxa"/>
        </w:tblCellMar>
        <w:tblLook w:val="00A0" w:firstRow="1" w:lastRow="0" w:firstColumn="1" w:lastColumn="0" w:noHBand="0" w:noVBand="0"/>
      </w:tblPr>
      <w:tblGrid>
        <w:gridCol w:w="1288"/>
        <w:gridCol w:w="1287"/>
        <w:gridCol w:w="1287"/>
        <w:gridCol w:w="1287"/>
        <w:gridCol w:w="1287"/>
        <w:gridCol w:w="1287"/>
        <w:gridCol w:w="1287"/>
      </w:tblGrid>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Calibri" w:hAnsi="Calibri" w:cs="Calibri"/>
                <w:color w:val="000000"/>
              </w:rPr>
            </w:pPr>
            <w:r>
              <w:rPr>
                <w:rFonts w:ascii="Calibri" w:hAnsi="Calibri" w:cs="Calibri"/>
                <w:color w:val="000000"/>
              </w:rPr>
              <w:lastRenderedPageBreak/>
              <w:t>Local Authority</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Calibri" w:hAnsi="Calibri" w:cs="Calibri"/>
                <w:color w:val="000000"/>
              </w:rPr>
            </w:pPr>
            <w:r>
              <w:rPr>
                <w:rFonts w:ascii="Calibri" w:hAnsi="Calibri" w:cs="Calibri"/>
                <w:color w:val="000000"/>
              </w:rPr>
              <w:t> RAS Average Expenditure per Month Q1 2019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Calibri" w:hAnsi="Calibri" w:cs="Calibri"/>
                <w:color w:val="000000"/>
              </w:rPr>
            </w:pPr>
            <w:r>
              <w:rPr>
                <w:rFonts w:ascii="Calibri" w:hAnsi="Calibri" w:cs="Calibri"/>
                <w:color w:val="000000"/>
              </w:rPr>
              <w:t>Total Tenancies End Q1 2019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Calibri" w:hAnsi="Calibri" w:cs="Calibri"/>
                <w:color w:val="000000"/>
              </w:rPr>
            </w:pPr>
            <w:r>
              <w:rPr>
                <w:rFonts w:ascii="Calibri" w:hAnsi="Calibri" w:cs="Calibri"/>
                <w:color w:val="000000"/>
              </w:rPr>
              <w:t>Average cost of Tenancy per Month Q1 2019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Calibri" w:hAnsi="Calibri" w:cs="Calibri"/>
                <w:color w:val="000000"/>
              </w:rPr>
            </w:pPr>
            <w:r>
              <w:rPr>
                <w:rFonts w:ascii="Calibri" w:hAnsi="Calibri" w:cs="Calibri"/>
                <w:color w:val="000000"/>
              </w:rPr>
              <w:t>RAS Average Expenditure per Month Q2 2019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Calibri" w:hAnsi="Calibri" w:cs="Calibri"/>
                <w:color w:val="000000"/>
              </w:rPr>
            </w:pPr>
            <w:r>
              <w:rPr>
                <w:rFonts w:ascii="Calibri" w:hAnsi="Calibri" w:cs="Calibri"/>
                <w:color w:val="000000"/>
              </w:rPr>
              <w:t>Total Tenancies End Q2 2019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Calibri" w:hAnsi="Calibri" w:cs="Calibri"/>
                <w:color w:val="000000"/>
              </w:rPr>
            </w:pPr>
            <w:r>
              <w:rPr>
                <w:rFonts w:ascii="Calibri" w:hAnsi="Calibri" w:cs="Calibri"/>
                <w:color w:val="000000"/>
              </w:rPr>
              <w:t>Average cost of Tenancy per Month Q2 2019</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Carlow Co. Cl.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€328,990.00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499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€659.30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€293,342.25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493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€595.01</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Cavan Co. Cl.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€307,576.72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562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€547.29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€261,411.95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555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€471.01</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Clare Co. Cl.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€199,399.29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373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€534.58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€179,505.63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394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€455.60</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Cork City Cl.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€606,387.05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824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€735.91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€567,550.55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925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€613.57</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Cork Co CL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€502,933.19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857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€586.85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€439,033.41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732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€599.77</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Donegal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€180,298.64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547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€329.61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€143,410.29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547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€262.18</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Dublin City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€1,510,850.87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1765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€856.01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€1,375,599.18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1719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€800.23</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Dun/</w:t>
            </w:r>
            <w:proofErr w:type="spellStart"/>
            <w:r>
              <w:rPr>
                <w:rFonts w:ascii="Calibri" w:hAnsi="Calibri" w:cs="Calibri"/>
                <w:color w:val="000000"/>
              </w:rPr>
              <w:t>Rathdown</w:t>
            </w:r>
            <w:proofErr w:type="spellEnd"/>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€568,011.70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1292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€439.64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€539,082.96</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1261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€427.50</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South Dublin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€1,457,921.79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528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€2,761.22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€1,127,578.21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516</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€2,185.23</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Fingal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€794,089.67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647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€1,227.34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€734,079.57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640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€1,147.00</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Galway City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€267,445.48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421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€635.26</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€229,527.31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412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€557.11</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Galway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€185,169.01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324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€571.51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€170,149.59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323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€526.78</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Kerry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€559,743.60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891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€628.22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€503,564.71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894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€563.27</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Kildare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€506,862.04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578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€876.92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€451,731.36</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553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€816.87</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Kilkenny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€531,646.30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911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€583.59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€489,026.14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925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€528.68</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Laois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€112,427.22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218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€515.72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€100,090.99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214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€467.71</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Leitrim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€47,079.48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114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€412.98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€38,230.74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114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€335.36</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Limerick City &amp;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€775,536.04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1145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€677.32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€713,136.35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1183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€602.82</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Longford</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€97,844.33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207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€472.68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€83,454.33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208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€401.22</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Louth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€57,427.31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120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€478.56</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€47,837.22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120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€398.64</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Mayo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€428,793.52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808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€530.69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€387,805.22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816</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€475.25</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Meath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€332,791.23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407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€817.67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€304,077.04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396</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€767.87</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Monaghan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€91,304.87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215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€424.67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€81,375.54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209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€389.36</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Offaly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€80,461.14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130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€618.93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€74,746.92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132</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€566.26</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Roscommon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€199,933.38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404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€494.88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€171,984.41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400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€429.96</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Sligo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€271,945.33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541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€502.67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€231,239.70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525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€440.46</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Tipperary Co. Cl.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€556,743.99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1089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€511.24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€521,293.01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1087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€479.57</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Waterford City &amp; Co. Cl.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€341,403.28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675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€505.78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€268,117.29</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667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€401.97</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Westmeath </w:t>
            </w:r>
            <w:proofErr w:type="spellStart"/>
            <w:r>
              <w:rPr>
                <w:rFonts w:ascii="Calibri" w:hAnsi="Calibri" w:cs="Calibri"/>
                <w:color w:val="000000"/>
              </w:rPr>
              <w:t>Co.Cl</w:t>
            </w:r>
            <w:proofErr w:type="spellEnd"/>
            <w:r>
              <w:rPr>
                <w:rFonts w:ascii="Calibri" w:hAnsi="Calibri" w:cs="Calibri"/>
                <w:color w:val="000000"/>
              </w:rPr>
              <w:t>.</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€400,658.97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584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€686.06</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€358,390.84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587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€610.55</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Wexford </w:t>
            </w:r>
            <w:proofErr w:type="spellStart"/>
            <w:r>
              <w:rPr>
                <w:rFonts w:ascii="Calibri" w:hAnsi="Calibri" w:cs="Calibri"/>
                <w:color w:val="000000"/>
              </w:rPr>
              <w:t>Co.Cl</w:t>
            </w:r>
            <w:proofErr w:type="spellEnd"/>
            <w:r>
              <w:rPr>
                <w:rFonts w:ascii="Calibri" w:hAnsi="Calibri" w:cs="Calibri"/>
                <w:color w:val="000000"/>
              </w:rPr>
              <w:t>.</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€346,699.97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600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€577.83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€307,024.70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578</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€531.18</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Wicklow </w:t>
            </w:r>
            <w:proofErr w:type="spellStart"/>
            <w:r>
              <w:rPr>
                <w:rFonts w:ascii="Calibri" w:hAnsi="Calibri" w:cs="Calibri"/>
                <w:color w:val="000000"/>
              </w:rPr>
              <w:t>Co.Cl</w:t>
            </w:r>
            <w:proofErr w:type="spellEnd"/>
            <w:r>
              <w:rPr>
                <w:rFonts w:ascii="Calibri" w:hAnsi="Calibri" w:cs="Calibri"/>
                <w:color w:val="000000"/>
              </w:rPr>
              <w:t>.</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€443,342.33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421</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€1,053.07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€399,463.63</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395</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€1,011.30</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lastRenderedPageBreak/>
              <w:t xml:space="preserve">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 xml:space="preserve"> </w:t>
            </w:r>
          </w:p>
        </w:tc>
      </w:tr>
      <w:tr w:rsidR="002A2736">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Calibri" w:hAnsi="Calibri" w:cs="Calibri"/>
                <w:color w:val="000000"/>
              </w:rPr>
            </w:pPr>
            <w:r>
              <w:rPr>
                <w:rFonts w:ascii="Calibri" w:hAnsi="Calibri" w:cs="Calibri"/>
                <w:color w:val="000000"/>
              </w:rPr>
              <w:t>National Total</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€13,091,717.74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18697</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€700.20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€11,592,861.04</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18520</w:t>
            </w:r>
          </w:p>
        </w:tc>
        <w:tc>
          <w:tcPr>
            <w:tcW w:w="714"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right"/>
              <w:rPr>
                <w:rFonts w:ascii="Calibri" w:hAnsi="Calibri" w:cs="Calibri"/>
                <w:color w:val="000000"/>
              </w:rPr>
            </w:pPr>
            <w:r>
              <w:rPr>
                <w:rFonts w:ascii="Calibri" w:hAnsi="Calibri" w:cs="Calibri"/>
                <w:color w:val="000000"/>
              </w:rPr>
              <w:t>€625.96</w:t>
            </w:r>
          </w:p>
        </w:tc>
      </w:tr>
    </w:tbl>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Calibri" w:hAnsi="Calibri" w:cs="Calibri"/>
          <w:color w:val="000000"/>
        </w:rPr>
      </w:pP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Calibri" w:hAnsi="Calibri" w:cs="Calibri"/>
          <w:color w:val="000000"/>
        </w:rPr>
      </w:pP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480" w:lineRule="auto"/>
        <w:rPr>
          <w:rFonts w:ascii="Calibri" w:hAnsi="Calibri" w:cs="Calibri"/>
          <w:color w:val="000000"/>
        </w:rPr>
      </w:pP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480" w:lineRule="auto"/>
        <w:rPr>
          <w:rFonts w:ascii="Helv" w:hAnsi="Helv" w:cs="Helv"/>
          <w:color w:val="000000"/>
          <w:sz w:val="20"/>
          <w:szCs w:val="20"/>
        </w:rPr>
      </w:pPr>
      <w:r>
        <w:rPr>
          <w:rFonts w:ascii="Calibri" w:hAnsi="Calibri" w:cs="Calibri"/>
          <w:noProof/>
          <w:color w:val="000000"/>
        </w:rPr>
        <w:drawing>
          <wp:inline distT="0" distB="0" distL="0" distR="0">
            <wp:extent cx="2762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Pr>
          <w:rFonts w:ascii="Calibri" w:hAnsi="Calibri" w:cs="Calibri"/>
          <w:color w:val="000000"/>
        </w:rPr>
        <w:t xml:space="preserve"> </w:t>
      </w:r>
      <w:r>
        <w:rPr>
          <w:rFonts w:ascii="Helv" w:hAnsi="Helv" w:cs="Helv"/>
          <w:color w:val="000000"/>
          <w:sz w:val="20"/>
          <w:szCs w:val="20"/>
        </w:rPr>
        <w:t xml:space="preserve"> - RAS Average Quarterly and Monthly Payments breakdown by LA in Q1 and Q2 2019.xlsx</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Helv" w:hAnsi="Helv" w:cs="Helv"/>
          <w:color w:val="000000"/>
          <w:sz w:val="20"/>
          <w:szCs w:val="20"/>
        </w:rPr>
      </w:pPr>
    </w:p>
    <w:p w:rsidR="002A2736" w:rsidRDefault="002A2736" w:rsidP="002A2736">
      <w:pPr>
        <w:autoSpaceDE w:val="0"/>
        <w:autoSpaceDN w:val="0"/>
        <w:adjustRightInd w:val="0"/>
        <w:spacing w:after="0" w:line="240" w:lineRule="auto"/>
        <w:jc w:val="center"/>
        <w:rPr>
          <w:rFonts w:ascii="MS Sans Serif" w:hAnsi="MS Sans Serif" w:cs="MS Sans Serif"/>
          <w:b/>
          <w:bCs/>
          <w:color w:val="000000"/>
          <w:sz w:val="28"/>
          <w:szCs w:val="28"/>
          <w:u w:val="single"/>
        </w:rPr>
      </w:pPr>
      <w:r>
        <w:rPr>
          <w:rFonts w:ascii="MS Sans Serif" w:hAnsi="MS Sans Serif" w:cs="MS Sans Serif"/>
          <w:b/>
          <w:bCs/>
          <w:color w:val="000000"/>
          <w:sz w:val="28"/>
          <w:szCs w:val="28"/>
          <w:u w:val="single"/>
        </w:rPr>
        <w:t>QUESTION NO:  265</w:t>
      </w:r>
    </w:p>
    <w:p w:rsidR="002A2736" w:rsidRDefault="002A2736" w:rsidP="002A2736">
      <w:pPr>
        <w:autoSpaceDE w:val="0"/>
        <w:autoSpaceDN w:val="0"/>
        <w:adjustRightInd w:val="0"/>
        <w:spacing w:after="0" w:line="240" w:lineRule="auto"/>
        <w:ind w:left="2340"/>
        <w:rPr>
          <w:rFonts w:ascii="MS Sans Serif" w:hAnsi="MS Sans Serif" w:cs="MS Sans Serif"/>
          <w:b/>
          <w:bCs/>
          <w:color w:val="000000"/>
          <w:sz w:val="28"/>
          <w:szCs w:val="28"/>
          <w:u w:val="single"/>
        </w:rPr>
      </w:pPr>
    </w:p>
    <w:p w:rsidR="002A2736" w:rsidRDefault="002A2736" w:rsidP="002A2736">
      <w:pPr>
        <w:autoSpaceDE w:val="0"/>
        <w:autoSpaceDN w:val="0"/>
        <w:adjustRightInd w:val="0"/>
        <w:spacing w:after="0" w:line="240" w:lineRule="auto"/>
        <w:jc w:val="center"/>
        <w:rPr>
          <w:rFonts w:ascii="MS Sans Serif" w:hAnsi="MS Sans Serif" w:cs="MS Sans Serif"/>
          <w:color w:val="000000"/>
          <w:sz w:val="28"/>
          <w:szCs w:val="28"/>
        </w:rPr>
      </w:pPr>
      <w:r>
        <w:rPr>
          <w:rFonts w:ascii="MS Sans Serif" w:hAnsi="MS Sans Serif" w:cs="MS Sans Serif"/>
          <w:b/>
          <w:bCs/>
          <w:color w:val="000000"/>
          <w:sz w:val="28"/>
          <w:szCs w:val="28"/>
        </w:rPr>
        <w:t>DÁIL QUESTION</w:t>
      </w:r>
      <w:r>
        <w:rPr>
          <w:rFonts w:ascii="MS Sans Serif" w:hAnsi="MS Sans Serif" w:cs="MS Sans Serif"/>
          <w:color w:val="000000"/>
          <w:sz w:val="28"/>
          <w:szCs w:val="28"/>
        </w:rPr>
        <w:t xml:space="preserve"> addressed to the Minister for Housing, Planning and Local Government (Deputy Eoghan Murphy)</w:t>
      </w:r>
    </w:p>
    <w:p w:rsidR="002A2736" w:rsidRDefault="002A2736" w:rsidP="002A2736">
      <w:pPr>
        <w:autoSpaceDE w:val="0"/>
        <w:autoSpaceDN w:val="0"/>
        <w:adjustRightInd w:val="0"/>
        <w:spacing w:after="0" w:line="240" w:lineRule="auto"/>
        <w:jc w:val="center"/>
        <w:rPr>
          <w:rFonts w:ascii="MS Sans Serif" w:hAnsi="MS Sans Serif" w:cs="MS Sans Serif"/>
          <w:color w:val="000000"/>
          <w:sz w:val="28"/>
          <w:szCs w:val="28"/>
        </w:rPr>
      </w:pPr>
      <w:r>
        <w:rPr>
          <w:rFonts w:ascii="MS Sans Serif" w:hAnsi="MS Sans Serif" w:cs="MS Sans Serif"/>
          <w:color w:val="000000"/>
          <w:sz w:val="28"/>
          <w:szCs w:val="28"/>
        </w:rPr>
        <w:t>by Deputy Darragh O'Brien</w:t>
      </w:r>
    </w:p>
    <w:p w:rsidR="002A2736" w:rsidRDefault="002A2736" w:rsidP="002A2736">
      <w:pPr>
        <w:autoSpaceDE w:val="0"/>
        <w:autoSpaceDN w:val="0"/>
        <w:adjustRightInd w:val="0"/>
        <w:spacing w:after="0" w:line="240" w:lineRule="auto"/>
        <w:jc w:val="center"/>
        <w:rPr>
          <w:rFonts w:ascii="MS Sans Serif" w:hAnsi="MS Sans Serif" w:cs="MS Sans Serif"/>
          <w:color w:val="000000"/>
          <w:sz w:val="20"/>
          <w:szCs w:val="20"/>
        </w:rPr>
      </w:pPr>
      <w:r>
        <w:rPr>
          <w:rFonts w:ascii="MS Sans Serif" w:hAnsi="MS Sans Serif" w:cs="MS Sans Serif"/>
          <w:color w:val="000000"/>
          <w:sz w:val="28"/>
          <w:szCs w:val="28"/>
        </w:rPr>
        <w:t xml:space="preserve">for </w:t>
      </w:r>
      <w:r>
        <w:rPr>
          <w:rFonts w:ascii="MS Sans Serif" w:hAnsi="MS Sans Serif" w:cs="MS Sans Serif"/>
          <w:b/>
          <w:bCs/>
          <w:color w:val="000000"/>
          <w:sz w:val="28"/>
          <w:szCs w:val="28"/>
        </w:rPr>
        <w:t>WRITTEN ANSWER</w:t>
      </w:r>
      <w:r>
        <w:rPr>
          <w:rFonts w:ascii="MS Sans Serif" w:hAnsi="MS Sans Serif" w:cs="MS Sans Serif"/>
          <w:color w:val="000000"/>
          <w:sz w:val="28"/>
          <w:szCs w:val="28"/>
        </w:rPr>
        <w:t xml:space="preserve"> on </w:t>
      </w:r>
      <w:r>
        <w:rPr>
          <w:rFonts w:ascii="MS Sans Serif" w:hAnsi="MS Sans Serif" w:cs="MS Sans Serif"/>
          <w:b/>
          <w:bCs/>
          <w:color w:val="000000"/>
          <w:sz w:val="28"/>
          <w:szCs w:val="28"/>
        </w:rPr>
        <w:t>21/11/2019</w:t>
      </w:r>
      <w:r>
        <w:rPr>
          <w:rFonts w:ascii="MS Sans Serif" w:hAnsi="MS Sans Serif" w:cs="MS Sans Serif"/>
          <w:color w:val="000000"/>
          <w:sz w:val="28"/>
          <w:szCs w:val="28"/>
        </w:rPr>
        <w:t xml:space="preserve"> </w:t>
      </w:r>
      <w:r>
        <w:rPr>
          <w:rFonts w:ascii="MS Sans Serif" w:hAnsi="MS Sans Serif" w:cs="MS Sans Serif"/>
          <w:color w:val="000000"/>
          <w:sz w:val="20"/>
          <w:szCs w:val="20"/>
        </w:rPr>
        <w:t xml:space="preserve"> </w:t>
      </w:r>
    </w:p>
    <w:p w:rsidR="002A2736" w:rsidRDefault="002A2736" w:rsidP="002A2736">
      <w:pPr>
        <w:autoSpaceDE w:val="0"/>
        <w:autoSpaceDN w:val="0"/>
        <w:adjustRightInd w:val="0"/>
        <w:spacing w:after="0" w:line="240" w:lineRule="auto"/>
        <w:rPr>
          <w:rFonts w:ascii="MS Sans Serif" w:hAnsi="MS Sans Serif" w:cs="MS Sans Serif"/>
          <w:color w:val="000000"/>
          <w:sz w:val="20"/>
          <w:szCs w:val="20"/>
        </w:rPr>
      </w:pPr>
    </w:p>
    <w:p w:rsidR="002A2736" w:rsidRDefault="002A2736" w:rsidP="002A2736">
      <w:pPr>
        <w:autoSpaceDE w:val="0"/>
        <w:autoSpaceDN w:val="0"/>
        <w:adjustRightInd w:val="0"/>
        <w:spacing w:after="0" w:line="240" w:lineRule="auto"/>
        <w:rPr>
          <w:rFonts w:ascii="MS Sans Serif" w:hAnsi="MS Sans Serif" w:cs="MS Sans Serif"/>
          <w:color w:val="000000"/>
          <w:sz w:val="20"/>
          <w:szCs w:val="20"/>
        </w:rPr>
      </w:pPr>
      <w:r>
        <w:rPr>
          <w:rFonts w:ascii="MS Sans Serif" w:hAnsi="MS Sans Serif" w:cs="MS Sans Serif"/>
          <w:color w:val="000000"/>
          <w:sz w:val="20"/>
          <w:szCs w:val="20"/>
        </w:rPr>
        <w:t xml:space="preserve"> </w:t>
      </w:r>
    </w:p>
    <w:p w:rsidR="002A2736" w:rsidRDefault="002A2736" w:rsidP="002A2736">
      <w:pPr>
        <w:autoSpaceDE w:val="0"/>
        <w:autoSpaceDN w:val="0"/>
        <w:adjustRightInd w:val="0"/>
        <w:spacing w:after="0" w:line="240" w:lineRule="auto"/>
        <w:rPr>
          <w:rFonts w:ascii="MS Sans Serif" w:hAnsi="MS Sans Serif" w:cs="MS Sans Serif"/>
          <w:color w:val="000000"/>
          <w:sz w:val="28"/>
          <w:szCs w:val="28"/>
        </w:rPr>
      </w:pPr>
      <w:r>
        <w:rPr>
          <w:rFonts w:ascii="MS Sans Serif" w:hAnsi="MS Sans Serif" w:cs="MS Sans Serif"/>
          <w:color w:val="000000"/>
          <w:sz w:val="20"/>
          <w:szCs w:val="20"/>
        </w:rPr>
        <w:t xml:space="preserve"> </w:t>
      </w:r>
      <w:r>
        <w:rPr>
          <w:rFonts w:ascii="MS Sans Serif" w:hAnsi="MS Sans Serif" w:cs="MS Sans Serif"/>
          <w:color w:val="000000"/>
          <w:sz w:val="28"/>
          <w:szCs w:val="28"/>
        </w:rPr>
        <w:t>To ask the Minister for Housing; Planning and Local Government the average monthly payment under the social housing current expenditure programme (leasing) for each quarter of 2019 to date; the average social housing current expenditure programme (leasing) for each county; the number of recipients by county for each quarter of 2019 to date in tabular form; and if he will make a statement on the matter.</w:t>
      </w:r>
    </w:p>
    <w:p w:rsidR="002A2736" w:rsidRDefault="002A2736" w:rsidP="002A2736">
      <w:pPr>
        <w:autoSpaceDE w:val="0"/>
        <w:autoSpaceDN w:val="0"/>
        <w:adjustRightInd w:val="0"/>
        <w:spacing w:after="0" w:line="240" w:lineRule="auto"/>
        <w:rPr>
          <w:rFonts w:ascii="MS Sans Serif" w:hAnsi="MS Sans Serif" w:cs="MS Sans Serif"/>
          <w:color w:val="0000FF"/>
          <w:sz w:val="28"/>
          <w:szCs w:val="28"/>
        </w:rPr>
      </w:pPr>
      <w:r>
        <w:rPr>
          <w:rFonts w:ascii="MS Sans Serif" w:hAnsi="MS Sans Serif" w:cs="MS Sans Serif"/>
          <w:color w:val="0000FF"/>
          <w:sz w:val="28"/>
          <w:szCs w:val="28"/>
        </w:rPr>
        <w:t xml:space="preserve">  </w:t>
      </w:r>
    </w:p>
    <w:p w:rsidR="002A2736" w:rsidRDefault="002A2736" w:rsidP="002A2736">
      <w:pPr>
        <w:autoSpaceDE w:val="0"/>
        <w:autoSpaceDN w:val="0"/>
        <w:adjustRightInd w:val="0"/>
        <w:spacing w:after="0" w:line="240" w:lineRule="auto"/>
        <w:rPr>
          <w:rFonts w:ascii="MS Sans Serif" w:hAnsi="MS Sans Serif" w:cs="MS Sans Serif"/>
          <w:b/>
          <w:bCs/>
          <w:color w:val="800000"/>
          <w:sz w:val="28"/>
          <w:szCs w:val="28"/>
          <w:u w:val="single"/>
        </w:rPr>
      </w:pPr>
      <w:r>
        <w:rPr>
          <w:rFonts w:ascii="MS Sans Serif" w:hAnsi="MS Sans Serif" w:cs="MS Sans Serif"/>
          <w:b/>
          <w:bCs/>
          <w:color w:val="800000"/>
          <w:sz w:val="28"/>
          <w:szCs w:val="28"/>
          <w:u w:val="single"/>
        </w:rPr>
        <w:t>REPLY.</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The Social Housing Current Expenditure Programme (SHCEP) supports the delivery of social housing by providing financial support to local authorities for the </w:t>
      </w:r>
      <w:proofErr w:type="gramStart"/>
      <w:r>
        <w:rPr>
          <w:rFonts w:ascii="Tms Rmn" w:hAnsi="Tms Rmn" w:cs="Tms Rmn"/>
          <w:color w:val="000000"/>
          <w:sz w:val="24"/>
          <w:szCs w:val="24"/>
        </w:rPr>
        <w:t>long term</w:t>
      </w:r>
      <w:proofErr w:type="gramEnd"/>
      <w:r>
        <w:rPr>
          <w:rFonts w:ascii="Tms Rmn" w:hAnsi="Tms Rmn" w:cs="Tms Rmn"/>
          <w:color w:val="000000"/>
          <w:sz w:val="24"/>
          <w:szCs w:val="24"/>
        </w:rPr>
        <w:t xml:space="preserve"> leasing of houses and apartments from a range of different sources including Repair and Leasing, Enhanced Leasing and Long-term leasing. In addition, SHCEP supports the current costs of dwellings delivered by AHBs under my Department's Build and Acquisition Programmes under the Capital Advance Loan Facility (CALF) and Housing Agency Acquisitions (HAA) programme. The SHCEP budget for 2019 is just under €155 million.  </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Data on the total number of contractual agreements held by local authorities and supported by my Department from SHCEP is published on my Department’s website at the following link: </w:t>
      </w:r>
      <w:hyperlink r:id="rId5" w:history="1">
        <w:r>
          <w:rPr>
            <w:rFonts w:ascii="Tms Rmn" w:hAnsi="Tms Rmn" w:cs="Tms Rmn"/>
            <w:color w:val="000000"/>
            <w:sz w:val="24"/>
            <w:szCs w:val="24"/>
          </w:rPr>
          <w:t>http://www.housing.gov.ie/housing/social-housing/social-and-affordble/overall-social-housing-provision</w:t>
        </w:r>
      </w:hyperlink>
      <w:r>
        <w:rPr>
          <w:rFonts w:ascii="Tms Rmn" w:hAnsi="Tms Rmn" w:cs="Tms Rmn"/>
          <w:color w:val="000000"/>
          <w:sz w:val="24"/>
          <w:szCs w:val="24"/>
        </w:rPr>
        <w:t xml:space="preserve">. </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Data in relation to the average monthly cost for dwellings delivered under leasing, and the total number of leased dwellings funded under SHCEP, for Q1 and Q2 2019, are set out in the table below. Data for Q3 2019 is being col</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proofErr w:type="spellStart"/>
      <w:r>
        <w:rPr>
          <w:rFonts w:ascii="Tms Rmn" w:hAnsi="Tms Rmn" w:cs="Tms Rmn"/>
          <w:color w:val="000000"/>
          <w:sz w:val="24"/>
          <w:szCs w:val="24"/>
        </w:rPr>
        <w:t>lated</w:t>
      </w:r>
      <w:proofErr w:type="spellEnd"/>
      <w:r>
        <w:rPr>
          <w:rFonts w:ascii="Tms Rmn" w:hAnsi="Tms Rmn" w:cs="Tms Rmn"/>
          <w:color w:val="000000"/>
          <w:sz w:val="24"/>
          <w:szCs w:val="24"/>
        </w:rPr>
        <w:t xml:space="preserve"> and will be available shortly. </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r>
        <w:rPr>
          <w:rFonts w:ascii="Tms Rmn" w:hAnsi="Tms Rmn" w:cs="Tms Rmn"/>
          <w:b/>
          <w:bCs/>
          <w:color w:val="000000"/>
          <w:sz w:val="24"/>
          <w:szCs w:val="24"/>
        </w:rPr>
        <w:t>Table: Average Lease Cost and Total Leased Dwellings Q1 and Q2 2019</w:t>
      </w:r>
      <w:r>
        <w:rPr>
          <w:rFonts w:ascii="Tms Rmn" w:hAnsi="Tms Rmn" w:cs="Tms Rmn"/>
          <w:color w:val="000000"/>
          <w:sz w:val="24"/>
          <w:szCs w:val="24"/>
        </w:rPr>
        <w:t xml:space="preserve"> </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p>
    <w:tbl>
      <w:tblPr>
        <w:tblW w:w="5000" w:type="pct"/>
        <w:tblLayout w:type="fixed"/>
        <w:tblCellMar>
          <w:left w:w="0" w:type="dxa"/>
          <w:right w:w="0" w:type="dxa"/>
        </w:tblCellMar>
        <w:tblLook w:val="00A0" w:firstRow="1" w:lastRow="0" w:firstColumn="1" w:lastColumn="0" w:noHBand="0" w:noVBand="0"/>
      </w:tblPr>
      <w:tblGrid>
        <w:gridCol w:w="1802"/>
        <w:gridCol w:w="1802"/>
        <w:gridCol w:w="1802"/>
        <w:gridCol w:w="1802"/>
        <w:gridCol w:w="1802"/>
      </w:tblGrid>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lastRenderedPageBreak/>
              <w:t xml:space="preserve">LA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t xml:space="preserve">Average Monthly Lease Payment – Q1 2019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t xml:space="preserve">Total Operational Leased Dwellings – Q1 2019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t xml:space="preserve">Average Monthly Lease Payment – Q2 2019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t xml:space="preserve">Total Operational Leased Dwellings – Q2 2019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Carlow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€566</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134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€566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134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Cavan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€524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33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€528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34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Clare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€619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336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€625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346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Cork City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€743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247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€757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253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Cork County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€728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981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€729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984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DLR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€1,202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189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€1,202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189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Donegal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€528</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286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€528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286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Dublin City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€950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749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€955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756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Fingal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€873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537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€886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554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Galway City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€940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208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€940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209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Galway County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€626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€630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71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Kerry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€642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305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€659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298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Kildare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€742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231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€805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234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Kilkenny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€652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79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€649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84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Laois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€610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225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€610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225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Leitrim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€492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15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€492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15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Limerick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€684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94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€682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106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Longford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€578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100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€578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100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Louth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€707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369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€707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369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Mayo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€630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173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€636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192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Meath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€688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163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€696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170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Monaghan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€536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51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€535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54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Offaly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€646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256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€650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257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Roscommon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€476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14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€513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22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Sligo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€660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61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€660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61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South Dublin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€1,183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646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€1,183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646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Tipperary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€602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421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€603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443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Waterford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€553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260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€547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265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Westmeath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€673</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362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€674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384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Wexford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€581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197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€582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204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Wicklow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€871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40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€877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43 </w:t>
            </w:r>
          </w:p>
        </w:tc>
      </w:tr>
      <w:tr w:rsidR="002A2736">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b/>
                <w:bCs/>
                <w:color w:val="000000"/>
                <w:sz w:val="24"/>
                <w:szCs w:val="24"/>
              </w:rPr>
              <w:t>Overall</w:t>
            </w: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b/>
                <w:bCs/>
                <w:color w:val="000000"/>
                <w:sz w:val="24"/>
                <w:szCs w:val="24"/>
              </w:rPr>
              <w:t>€753</w:t>
            </w: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b/>
                <w:bCs/>
                <w:color w:val="000000"/>
                <w:sz w:val="24"/>
                <w:szCs w:val="24"/>
              </w:rPr>
              <w:t>7,832</w:t>
            </w: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b/>
                <w:bCs/>
                <w:color w:val="000000"/>
                <w:sz w:val="24"/>
                <w:szCs w:val="24"/>
              </w:rPr>
              <w:t>€757</w:t>
            </w:r>
            <w:r>
              <w:rPr>
                <w:rFonts w:ascii="Tms Rmn" w:hAnsi="Tms Rmn" w:cs="Tms Rmn"/>
                <w:color w:val="000000"/>
                <w:sz w:val="24"/>
                <w:szCs w:val="24"/>
              </w:rPr>
              <w:t xml:space="preserve"> </w:t>
            </w:r>
          </w:p>
        </w:tc>
        <w:tc>
          <w:tcPr>
            <w:tcW w:w="100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b/>
                <w:bCs/>
                <w:color w:val="000000"/>
                <w:sz w:val="24"/>
                <w:szCs w:val="24"/>
              </w:rPr>
              <w:t>7,988</w:t>
            </w:r>
            <w:r>
              <w:rPr>
                <w:rFonts w:ascii="Tms Rmn" w:hAnsi="Tms Rmn" w:cs="Tms Rmn"/>
                <w:color w:val="000000"/>
                <w:sz w:val="24"/>
                <w:szCs w:val="24"/>
              </w:rPr>
              <w:t xml:space="preserve"> </w:t>
            </w:r>
          </w:p>
        </w:tc>
      </w:tr>
    </w:tbl>
    <w:p w:rsidR="002A2736" w:rsidRDefault="002A2736" w:rsidP="002A2736">
      <w:pPr>
        <w:autoSpaceDE w:val="0"/>
        <w:autoSpaceDN w:val="0"/>
        <w:adjustRightInd w:val="0"/>
        <w:spacing w:after="0" w:line="240" w:lineRule="auto"/>
        <w:rPr>
          <w:rFonts w:ascii="Tms Rmn" w:hAnsi="Tms Rmn" w:cs="Tms Rmn"/>
          <w:color w:val="000000"/>
          <w:sz w:val="24"/>
          <w:szCs w:val="24"/>
        </w:rPr>
      </w:pPr>
    </w:p>
    <w:p w:rsidR="002A2736" w:rsidRDefault="002A2736" w:rsidP="002A273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*Note - operational units are units that are being claimed for by local authorities and actively funded by SHCEP.</w:t>
      </w:r>
    </w:p>
    <w:p w:rsidR="002A2736" w:rsidRDefault="002A2736" w:rsidP="002A2736">
      <w:pPr>
        <w:autoSpaceDE w:val="0"/>
        <w:autoSpaceDN w:val="0"/>
        <w:adjustRightInd w:val="0"/>
        <w:spacing w:after="0" w:line="240" w:lineRule="auto"/>
        <w:rPr>
          <w:rFonts w:ascii="Tms Rmn" w:hAnsi="Tms Rmn" w:cs="Tms Rmn"/>
          <w:color w:val="000000"/>
          <w:sz w:val="24"/>
          <w:szCs w:val="24"/>
        </w:rPr>
      </w:pPr>
    </w:p>
    <w:p w:rsidR="002A2736" w:rsidRDefault="002A2736" w:rsidP="002A2736">
      <w:pPr>
        <w:autoSpaceDE w:val="0"/>
        <w:autoSpaceDN w:val="0"/>
        <w:adjustRightInd w:val="0"/>
        <w:spacing w:after="0" w:line="240" w:lineRule="auto"/>
        <w:rPr>
          <w:rFonts w:ascii="Tms Rmn" w:hAnsi="Tms Rmn" w:cs="Tms Rmn"/>
          <w:color w:val="000000"/>
          <w:sz w:val="24"/>
          <w:szCs w:val="24"/>
        </w:rPr>
      </w:pP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p>
    <w:p w:rsidR="002A2736" w:rsidRDefault="002A2736" w:rsidP="002A2736">
      <w:pPr>
        <w:autoSpaceDE w:val="0"/>
        <w:autoSpaceDN w:val="0"/>
        <w:adjustRightInd w:val="0"/>
        <w:spacing w:after="0" w:line="240" w:lineRule="auto"/>
        <w:jc w:val="center"/>
        <w:rPr>
          <w:rFonts w:ascii="MS Sans Serif" w:hAnsi="MS Sans Serif" w:cs="MS Sans Serif"/>
          <w:b/>
          <w:bCs/>
          <w:color w:val="000000"/>
          <w:sz w:val="28"/>
          <w:szCs w:val="28"/>
          <w:u w:val="single"/>
        </w:rPr>
      </w:pPr>
    </w:p>
    <w:p w:rsidR="002A2736" w:rsidRDefault="002A2736" w:rsidP="002A2736">
      <w:pPr>
        <w:autoSpaceDE w:val="0"/>
        <w:autoSpaceDN w:val="0"/>
        <w:adjustRightInd w:val="0"/>
        <w:spacing w:after="0" w:line="240" w:lineRule="auto"/>
        <w:jc w:val="center"/>
        <w:rPr>
          <w:rFonts w:ascii="MS Sans Serif" w:hAnsi="MS Sans Serif" w:cs="MS Sans Serif"/>
          <w:b/>
          <w:bCs/>
          <w:color w:val="000000"/>
          <w:sz w:val="28"/>
          <w:szCs w:val="28"/>
          <w:u w:val="single"/>
        </w:rPr>
      </w:pPr>
    </w:p>
    <w:p w:rsidR="002A2736" w:rsidRDefault="002A2736" w:rsidP="002A2736">
      <w:pPr>
        <w:autoSpaceDE w:val="0"/>
        <w:autoSpaceDN w:val="0"/>
        <w:adjustRightInd w:val="0"/>
        <w:spacing w:after="0" w:line="240" w:lineRule="auto"/>
        <w:jc w:val="center"/>
        <w:rPr>
          <w:rFonts w:ascii="MS Sans Serif" w:hAnsi="MS Sans Serif" w:cs="MS Sans Serif"/>
          <w:b/>
          <w:bCs/>
          <w:color w:val="000000"/>
          <w:sz w:val="28"/>
          <w:szCs w:val="28"/>
          <w:u w:val="single"/>
        </w:rPr>
      </w:pPr>
      <w:r>
        <w:rPr>
          <w:rFonts w:ascii="MS Sans Serif" w:hAnsi="MS Sans Serif" w:cs="MS Sans Serif"/>
          <w:b/>
          <w:bCs/>
          <w:color w:val="000000"/>
          <w:sz w:val="28"/>
          <w:szCs w:val="28"/>
          <w:u w:val="single"/>
        </w:rPr>
        <w:lastRenderedPageBreak/>
        <w:t>QUESTION NOS:  1121,68</w:t>
      </w:r>
    </w:p>
    <w:p w:rsidR="002A2736" w:rsidRDefault="002A2736" w:rsidP="002A2736">
      <w:pPr>
        <w:autoSpaceDE w:val="0"/>
        <w:autoSpaceDN w:val="0"/>
        <w:adjustRightInd w:val="0"/>
        <w:spacing w:after="0" w:line="240" w:lineRule="auto"/>
        <w:ind w:left="2340"/>
        <w:rPr>
          <w:rFonts w:ascii="MS Sans Serif" w:hAnsi="MS Sans Serif" w:cs="MS Sans Serif"/>
          <w:b/>
          <w:bCs/>
          <w:color w:val="000000"/>
          <w:sz w:val="28"/>
          <w:szCs w:val="28"/>
          <w:u w:val="single"/>
        </w:rPr>
      </w:pPr>
    </w:p>
    <w:p w:rsidR="002A2736" w:rsidRDefault="002A2736" w:rsidP="002A2736">
      <w:pPr>
        <w:autoSpaceDE w:val="0"/>
        <w:autoSpaceDN w:val="0"/>
        <w:adjustRightInd w:val="0"/>
        <w:spacing w:after="0" w:line="240" w:lineRule="auto"/>
        <w:jc w:val="center"/>
        <w:rPr>
          <w:rFonts w:ascii="MS Sans Serif" w:hAnsi="MS Sans Serif" w:cs="MS Sans Serif"/>
          <w:color w:val="000000"/>
          <w:sz w:val="28"/>
          <w:szCs w:val="28"/>
        </w:rPr>
      </w:pPr>
      <w:r>
        <w:rPr>
          <w:rFonts w:ascii="MS Sans Serif" w:hAnsi="MS Sans Serif" w:cs="MS Sans Serif"/>
          <w:b/>
          <w:bCs/>
          <w:color w:val="000000"/>
          <w:sz w:val="28"/>
          <w:szCs w:val="28"/>
        </w:rPr>
        <w:t>DÁIL QUESTIONS</w:t>
      </w:r>
      <w:r>
        <w:rPr>
          <w:rFonts w:ascii="MS Sans Serif" w:hAnsi="MS Sans Serif" w:cs="MS Sans Serif"/>
          <w:color w:val="000000"/>
          <w:sz w:val="28"/>
          <w:szCs w:val="28"/>
        </w:rPr>
        <w:t xml:space="preserve"> addressed to the Minister for Housing, Planning and Local Government (Deputy Eoghan Murphy)</w:t>
      </w:r>
    </w:p>
    <w:p w:rsidR="002A2736" w:rsidRDefault="002A2736" w:rsidP="002A2736">
      <w:pPr>
        <w:autoSpaceDE w:val="0"/>
        <w:autoSpaceDN w:val="0"/>
        <w:adjustRightInd w:val="0"/>
        <w:spacing w:after="0" w:line="240" w:lineRule="auto"/>
        <w:jc w:val="center"/>
        <w:rPr>
          <w:rFonts w:ascii="MS Sans Serif" w:hAnsi="MS Sans Serif" w:cs="MS Sans Serif"/>
          <w:color w:val="000000"/>
          <w:sz w:val="28"/>
          <w:szCs w:val="28"/>
        </w:rPr>
      </w:pPr>
      <w:r>
        <w:rPr>
          <w:rFonts w:ascii="MS Sans Serif" w:hAnsi="MS Sans Serif" w:cs="MS Sans Serif"/>
          <w:color w:val="000000"/>
          <w:sz w:val="28"/>
          <w:szCs w:val="28"/>
        </w:rPr>
        <w:t>by Deputy Darragh O'Brien</w:t>
      </w:r>
    </w:p>
    <w:p w:rsidR="002A2736" w:rsidRDefault="002A2736" w:rsidP="002A2736">
      <w:pPr>
        <w:autoSpaceDE w:val="0"/>
        <w:autoSpaceDN w:val="0"/>
        <w:adjustRightInd w:val="0"/>
        <w:spacing w:after="0" w:line="240" w:lineRule="auto"/>
        <w:jc w:val="center"/>
        <w:rPr>
          <w:rFonts w:ascii="MS Sans Serif" w:hAnsi="MS Sans Serif" w:cs="MS Sans Serif"/>
          <w:color w:val="000000"/>
          <w:sz w:val="20"/>
          <w:szCs w:val="20"/>
        </w:rPr>
      </w:pPr>
      <w:r>
        <w:rPr>
          <w:rFonts w:ascii="MS Sans Serif" w:hAnsi="MS Sans Serif" w:cs="MS Sans Serif"/>
          <w:color w:val="000000"/>
          <w:sz w:val="28"/>
          <w:szCs w:val="28"/>
        </w:rPr>
        <w:t xml:space="preserve">for </w:t>
      </w:r>
      <w:r>
        <w:rPr>
          <w:rFonts w:ascii="MS Sans Serif" w:hAnsi="MS Sans Serif" w:cs="MS Sans Serif"/>
          <w:b/>
          <w:bCs/>
          <w:color w:val="000000"/>
          <w:sz w:val="28"/>
          <w:szCs w:val="28"/>
        </w:rPr>
        <w:t>WRITTEN ANSWER</w:t>
      </w:r>
      <w:r>
        <w:rPr>
          <w:rFonts w:ascii="MS Sans Serif" w:hAnsi="MS Sans Serif" w:cs="MS Sans Serif"/>
          <w:color w:val="000000"/>
          <w:sz w:val="28"/>
          <w:szCs w:val="28"/>
        </w:rPr>
        <w:t xml:space="preserve"> on </w:t>
      </w:r>
      <w:r>
        <w:rPr>
          <w:rFonts w:ascii="MS Sans Serif" w:hAnsi="MS Sans Serif" w:cs="MS Sans Serif"/>
          <w:b/>
          <w:bCs/>
          <w:color w:val="000000"/>
          <w:sz w:val="28"/>
          <w:szCs w:val="28"/>
        </w:rPr>
        <w:t>05/11/2019</w:t>
      </w:r>
      <w:r>
        <w:rPr>
          <w:rFonts w:ascii="MS Sans Serif" w:hAnsi="MS Sans Serif" w:cs="MS Sans Serif"/>
          <w:color w:val="000000"/>
          <w:sz w:val="28"/>
          <w:szCs w:val="28"/>
        </w:rPr>
        <w:t xml:space="preserve"> </w:t>
      </w:r>
      <w:r>
        <w:rPr>
          <w:rFonts w:ascii="MS Sans Serif" w:hAnsi="MS Sans Serif" w:cs="MS Sans Serif"/>
          <w:color w:val="000000"/>
          <w:sz w:val="20"/>
          <w:szCs w:val="20"/>
        </w:rPr>
        <w:t xml:space="preserve"> </w:t>
      </w:r>
    </w:p>
    <w:p w:rsidR="002A2736" w:rsidRDefault="002A2736" w:rsidP="002A2736">
      <w:pPr>
        <w:autoSpaceDE w:val="0"/>
        <w:autoSpaceDN w:val="0"/>
        <w:adjustRightInd w:val="0"/>
        <w:spacing w:after="0" w:line="240" w:lineRule="auto"/>
        <w:rPr>
          <w:rFonts w:ascii="MS Sans Serif" w:hAnsi="MS Sans Serif" w:cs="MS Sans Serif"/>
          <w:color w:val="000000"/>
          <w:sz w:val="20"/>
          <w:szCs w:val="20"/>
        </w:rPr>
      </w:pPr>
    </w:p>
    <w:p w:rsidR="002A2736" w:rsidRDefault="002A2736" w:rsidP="002A2736">
      <w:pPr>
        <w:autoSpaceDE w:val="0"/>
        <w:autoSpaceDN w:val="0"/>
        <w:adjustRightInd w:val="0"/>
        <w:spacing w:after="0" w:line="240" w:lineRule="auto"/>
        <w:rPr>
          <w:rFonts w:ascii="MS Sans Serif" w:hAnsi="MS Sans Serif" w:cs="MS Sans Serif"/>
          <w:color w:val="000000"/>
          <w:sz w:val="20"/>
          <w:szCs w:val="20"/>
        </w:rPr>
      </w:pPr>
      <w:r>
        <w:rPr>
          <w:rFonts w:ascii="MS Sans Serif" w:hAnsi="MS Sans Serif" w:cs="MS Sans Serif"/>
          <w:color w:val="000000"/>
          <w:sz w:val="20"/>
          <w:szCs w:val="20"/>
        </w:rPr>
        <w:t xml:space="preserve"> </w:t>
      </w:r>
    </w:p>
    <w:p w:rsidR="002A2736" w:rsidRDefault="002A2736" w:rsidP="002A2736">
      <w:pPr>
        <w:autoSpaceDE w:val="0"/>
        <w:autoSpaceDN w:val="0"/>
        <w:adjustRightInd w:val="0"/>
        <w:spacing w:after="0" w:line="240" w:lineRule="auto"/>
        <w:rPr>
          <w:rFonts w:ascii="MS Sans Serif" w:hAnsi="MS Sans Serif" w:cs="MS Sans Serif"/>
          <w:color w:val="000000"/>
          <w:sz w:val="20"/>
          <w:szCs w:val="20"/>
        </w:rPr>
      </w:pPr>
      <w:r>
        <w:rPr>
          <w:rFonts w:ascii="MS Sans Serif" w:hAnsi="MS Sans Serif" w:cs="MS Sans Serif"/>
          <w:color w:val="000000"/>
          <w:sz w:val="20"/>
          <w:szCs w:val="20"/>
        </w:rPr>
        <w:t xml:space="preserve"> </w:t>
      </w:r>
    </w:p>
    <w:p w:rsidR="002A2736" w:rsidRDefault="002A2736" w:rsidP="002A2736">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To ask the Minister for Housing; Planning and Local Government the average cost of delivering a one, two, three and four bed social housing unit nationally and in Dublin, respectively; and if he will make a statement on the matter.</w:t>
      </w:r>
    </w:p>
    <w:p w:rsidR="002A2736" w:rsidRDefault="002A2736" w:rsidP="002A2736">
      <w:pPr>
        <w:autoSpaceDE w:val="0"/>
        <w:autoSpaceDN w:val="0"/>
        <w:adjustRightInd w:val="0"/>
        <w:spacing w:after="0" w:line="240" w:lineRule="auto"/>
        <w:rPr>
          <w:rFonts w:ascii="Helv" w:hAnsi="Helv" w:cs="Helv"/>
          <w:color w:val="000000"/>
          <w:sz w:val="20"/>
          <w:szCs w:val="20"/>
        </w:rPr>
      </w:pPr>
    </w:p>
    <w:p w:rsidR="002A2736" w:rsidRDefault="002A2736" w:rsidP="002A2736">
      <w:pPr>
        <w:autoSpaceDE w:val="0"/>
        <w:autoSpaceDN w:val="0"/>
        <w:adjustRightInd w:val="0"/>
        <w:spacing w:after="0" w:line="240" w:lineRule="auto"/>
        <w:jc w:val="center"/>
        <w:rPr>
          <w:rFonts w:ascii="Helv" w:hAnsi="Helv" w:cs="Helv"/>
          <w:color w:val="000000"/>
          <w:sz w:val="20"/>
          <w:szCs w:val="20"/>
        </w:rPr>
      </w:pPr>
      <w:r>
        <w:rPr>
          <w:rFonts w:ascii="Helv" w:hAnsi="Helv" w:cs="Helv"/>
          <w:color w:val="000000"/>
          <w:sz w:val="20"/>
          <w:szCs w:val="20"/>
        </w:rPr>
        <w:t>- Darragh O'Brien T.D.</w:t>
      </w:r>
    </w:p>
    <w:p w:rsidR="002A2736" w:rsidRDefault="002A2736" w:rsidP="002A2736">
      <w:pPr>
        <w:autoSpaceDE w:val="0"/>
        <w:autoSpaceDN w:val="0"/>
        <w:adjustRightInd w:val="0"/>
        <w:spacing w:after="0" w:line="240" w:lineRule="auto"/>
        <w:jc w:val="center"/>
        <w:rPr>
          <w:rFonts w:ascii="Helv" w:hAnsi="Helv" w:cs="Helv"/>
          <w:color w:val="000000"/>
          <w:sz w:val="20"/>
          <w:szCs w:val="20"/>
        </w:rPr>
      </w:pPr>
    </w:p>
    <w:p w:rsidR="002A2736" w:rsidRDefault="002A2736" w:rsidP="002A2736">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For WRITTEN answer on Tuesday, 5 </w:t>
      </w:r>
      <w:proofErr w:type="gramStart"/>
      <w:r>
        <w:rPr>
          <w:rFonts w:ascii="Helv" w:hAnsi="Helv" w:cs="Helv"/>
          <w:color w:val="000000"/>
          <w:sz w:val="20"/>
          <w:szCs w:val="20"/>
        </w:rPr>
        <w:t>November,</w:t>
      </w:r>
      <w:proofErr w:type="gramEnd"/>
      <w:r>
        <w:rPr>
          <w:rFonts w:ascii="Helv" w:hAnsi="Helv" w:cs="Helv"/>
          <w:color w:val="000000"/>
          <w:sz w:val="20"/>
          <w:szCs w:val="20"/>
        </w:rPr>
        <w:t xml:space="preserve"> 2019.</w:t>
      </w:r>
    </w:p>
    <w:p w:rsidR="002A2736" w:rsidRDefault="002A2736" w:rsidP="002A2736">
      <w:pPr>
        <w:autoSpaceDE w:val="0"/>
        <w:autoSpaceDN w:val="0"/>
        <w:adjustRightInd w:val="0"/>
        <w:spacing w:after="0" w:line="240" w:lineRule="auto"/>
        <w:rPr>
          <w:rFonts w:ascii="Helv" w:hAnsi="Helv" w:cs="Helv"/>
          <w:color w:val="000000"/>
          <w:sz w:val="20"/>
          <w:szCs w:val="20"/>
        </w:rPr>
      </w:pPr>
    </w:p>
    <w:p w:rsidR="002A2736" w:rsidRDefault="002A2736" w:rsidP="002A2736">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To ask the Minister for Housing; Planning and Local Government the average cost of delivering a one, two, three and four bed social housing unit nationally and in Dublin, respectively; and if he will make a statement on the matter.</w:t>
      </w:r>
    </w:p>
    <w:p w:rsidR="002A2736" w:rsidRDefault="002A2736" w:rsidP="002A2736">
      <w:pPr>
        <w:autoSpaceDE w:val="0"/>
        <w:autoSpaceDN w:val="0"/>
        <w:adjustRightInd w:val="0"/>
        <w:spacing w:after="0" w:line="240" w:lineRule="auto"/>
        <w:rPr>
          <w:rFonts w:ascii="Helv" w:hAnsi="Helv" w:cs="Helv"/>
          <w:color w:val="000000"/>
          <w:sz w:val="20"/>
          <w:szCs w:val="20"/>
        </w:rPr>
      </w:pPr>
    </w:p>
    <w:p w:rsidR="002A2736" w:rsidRDefault="002A2736" w:rsidP="002A2736">
      <w:pPr>
        <w:autoSpaceDE w:val="0"/>
        <w:autoSpaceDN w:val="0"/>
        <w:adjustRightInd w:val="0"/>
        <w:spacing w:after="0" w:line="240" w:lineRule="auto"/>
        <w:jc w:val="center"/>
        <w:rPr>
          <w:rFonts w:ascii="Helv" w:hAnsi="Helv" w:cs="Helv"/>
          <w:color w:val="000000"/>
          <w:sz w:val="20"/>
          <w:szCs w:val="20"/>
        </w:rPr>
      </w:pPr>
      <w:r>
        <w:rPr>
          <w:rFonts w:ascii="Helv" w:hAnsi="Helv" w:cs="Helv"/>
          <w:color w:val="000000"/>
          <w:sz w:val="20"/>
          <w:szCs w:val="20"/>
        </w:rPr>
        <w:t>- Darragh O'Brien T.D.</w:t>
      </w:r>
    </w:p>
    <w:p w:rsidR="002A2736" w:rsidRDefault="002A2736" w:rsidP="002A2736">
      <w:pPr>
        <w:autoSpaceDE w:val="0"/>
        <w:autoSpaceDN w:val="0"/>
        <w:adjustRightInd w:val="0"/>
        <w:spacing w:after="0" w:line="240" w:lineRule="auto"/>
        <w:jc w:val="center"/>
        <w:rPr>
          <w:rFonts w:ascii="Helv" w:hAnsi="Helv" w:cs="Helv"/>
          <w:color w:val="000000"/>
          <w:sz w:val="20"/>
          <w:szCs w:val="20"/>
        </w:rPr>
      </w:pPr>
    </w:p>
    <w:p w:rsidR="002A2736" w:rsidRDefault="002A2736" w:rsidP="002A2736">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For WRITTEN answer on Tuesday, 5 </w:t>
      </w:r>
      <w:proofErr w:type="gramStart"/>
      <w:r>
        <w:rPr>
          <w:rFonts w:ascii="Helv" w:hAnsi="Helv" w:cs="Helv"/>
          <w:color w:val="000000"/>
          <w:sz w:val="20"/>
          <w:szCs w:val="20"/>
        </w:rPr>
        <w:t>November,</w:t>
      </w:r>
      <w:proofErr w:type="gramEnd"/>
      <w:r>
        <w:rPr>
          <w:rFonts w:ascii="Helv" w:hAnsi="Helv" w:cs="Helv"/>
          <w:color w:val="000000"/>
          <w:sz w:val="20"/>
          <w:szCs w:val="20"/>
        </w:rPr>
        <w:t xml:space="preserve"> 2019.</w:t>
      </w:r>
    </w:p>
    <w:p w:rsidR="002A2736" w:rsidRDefault="002A2736" w:rsidP="002A2736">
      <w:pPr>
        <w:autoSpaceDE w:val="0"/>
        <w:autoSpaceDN w:val="0"/>
        <w:adjustRightInd w:val="0"/>
        <w:spacing w:after="0" w:line="240" w:lineRule="auto"/>
        <w:rPr>
          <w:rFonts w:ascii="Helv" w:hAnsi="Helv" w:cs="Helv"/>
          <w:color w:val="000000"/>
          <w:sz w:val="20"/>
          <w:szCs w:val="20"/>
        </w:rPr>
      </w:pPr>
    </w:p>
    <w:p w:rsidR="002A2736" w:rsidRDefault="002A2736" w:rsidP="002A2736">
      <w:pPr>
        <w:autoSpaceDE w:val="0"/>
        <w:autoSpaceDN w:val="0"/>
        <w:adjustRightInd w:val="0"/>
        <w:spacing w:after="0" w:line="240" w:lineRule="auto"/>
        <w:rPr>
          <w:rFonts w:ascii="MS Sans Serif" w:hAnsi="MS Sans Serif" w:cs="MS Sans Serif"/>
          <w:color w:val="0000FF"/>
          <w:sz w:val="28"/>
          <w:szCs w:val="28"/>
        </w:rPr>
      </w:pPr>
      <w:r>
        <w:rPr>
          <w:rFonts w:ascii="MS Sans Serif" w:hAnsi="MS Sans Serif" w:cs="MS Sans Serif"/>
          <w:color w:val="0000FF"/>
          <w:sz w:val="28"/>
          <w:szCs w:val="28"/>
        </w:rPr>
        <w:t xml:space="preserve">  </w:t>
      </w:r>
    </w:p>
    <w:p w:rsidR="002A2736" w:rsidRDefault="002A2736" w:rsidP="002A2736">
      <w:pPr>
        <w:autoSpaceDE w:val="0"/>
        <w:autoSpaceDN w:val="0"/>
        <w:adjustRightInd w:val="0"/>
        <w:spacing w:after="0" w:line="240" w:lineRule="auto"/>
        <w:rPr>
          <w:rFonts w:ascii="MS Sans Serif" w:hAnsi="MS Sans Serif" w:cs="MS Sans Serif"/>
          <w:b/>
          <w:bCs/>
          <w:color w:val="800000"/>
          <w:sz w:val="28"/>
          <w:szCs w:val="28"/>
          <w:u w:val="single"/>
        </w:rPr>
      </w:pPr>
      <w:r>
        <w:rPr>
          <w:rFonts w:ascii="MS Sans Serif" w:hAnsi="MS Sans Serif" w:cs="MS Sans Serif"/>
          <w:b/>
          <w:bCs/>
          <w:color w:val="800000"/>
          <w:sz w:val="28"/>
          <w:szCs w:val="28"/>
          <w:u w:val="single"/>
        </w:rPr>
        <w:t>REPLY.</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There are </w:t>
      </w:r>
      <w:proofErr w:type="gramStart"/>
      <w:r>
        <w:rPr>
          <w:rFonts w:ascii="Tms Rmn" w:hAnsi="Tms Rmn" w:cs="Tms Rmn"/>
          <w:color w:val="000000"/>
          <w:sz w:val="24"/>
          <w:szCs w:val="24"/>
        </w:rPr>
        <w:t>a number of</w:t>
      </w:r>
      <w:proofErr w:type="gramEnd"/>
      <w:r>
        <w:rPr>
          <w:rFonts w:ascii="Tms Rmn" w:hAnsi="Tms Rmn" w:cs="Tms Rmn"/>
          <w:color w:val="000000"/>
          <w:sz w:val="24"/>
          <w:szCs w:val="24"/>
        </w:rPr>
        <w:t xml:space="preserve"> variables involved in estimating the cost of providing social housing units, such as the form of delivery, size of unit, land, funding, etc. In terms of construction and 'all-in' costs, the averages as sought for the various sized units, based on full capital costs, are set out in the tables below. These are shown in terms of houses and apartments, both for Dublin and nationally.</w:t>
      </w:r>
    </w:p>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p>
    <w:p w:rsidR="002A2736" w:rsidRDefault="002A2736" w:rsidP="002A2736">
      <w:pPr>
        <w:autoSpaceDE w:val="0"/>
        <w:autoSpaceDN w:val="0"/>
        <w:adjustRightInd w:val="0"/>
        <w:spacing w:after="0" w:line="240" w:lineRule="auto"/>
        <w:rPr>
          <w:rFonts w:ascii="Tms Rmn" w:hAnsi="Tms Rmn" w:cs="Tms Rmn"/>
          <w:color w:val="000000"/>
          <w:sz w:val="24"/>
          <w:szCs w:val="24"/>
        </w:rPr>
      </w:pPr>
    </w:p>
    <w:tbl>
      <w:tblPr>
        <w:tblW w:w="5000" w:type="pct"/>
        <w:tblLayout w:type="fixed"/>
        <w:tblCellMar>
          <w:left w:w="0" w:type="dxa"/>
          <w:right w:w="0" w:type="dxa"/>
        </w:tblCellMar>
        <w:tblLook w:val="00A0" w:firstRow="1" w:lastRow="0" w:firstColumn="1" w:lastColumn="0" w:noHBand="0" w:noVBand="0"/>
      </w:tblPr>
      <w:tblGrid>
        <w:gridCol w:w="1502"/>
        <w:gridCol w:w="1502"/>
        <w:gridCol w:w="1502"/>
        <w:gridCol w:w="1502"/>
        <w:gridCol w:w="1503"/>
        <w:gridCol w:w="1499"/>
      </w:tblGrid>
      <w:tr w:rsidR="002A2736">
        <w:tc>
          <w:tcPr>
            <w:tcW w:w="4996" w:type="pct"/>
            <w:gridSpan w:val="6"/>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t>HOUSES - DUBLIN</w:t>
            </w:r>
          </w:p>
        </w:tc>
      </w:tr>
      <w:tr w:rsidR="002A2736">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1 bed</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2 bed</w:t>
            </w:r>
            <w:r>
              <w:rPr>
                <w:rFonts w:ascii="Tms Rmn" w:hAnsi="Tms Rmn" w:cs="Tms Rmn"/>
                <w:b/>
                <w:bCs/>
                <w:color w:val="000000"/>
                <w:sz w:val="24"/>
                <w:szCs w:val="24"/>
              </w:rPr>
              <w:br/>
              <w:t>(1 storey)</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2 bed</w:t>
            </w:r>
            <w:r>
              <w:rPr>
                <w:rFonts w:ascii="Tms Rmn" w:hAnsi="Tms Rmn" w:cs="Tms Rmn"/>
                <w:b/>
                <w:bCs/>
                <w:color w:val="000000"/>
                <w:sz w:val="24"/>
                <w:szCs w:val="24"/>
              </w:rPr>
              <w:br/>
              <w:t>(2 storey)</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 bed</w:t>
            </w:r>
          </w:p>
        </w:tc>
        <w:tc>
          <w:tcPr>
            <w:tcW w:w="831"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 bed</w:t>
            </w:r>
          </w:p>
        </w:tc>
      </w:tr>
      <w:tr w:rsidR="002A2736">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Construction</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€197,850</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€207,975</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€216,975</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€227,275</w:t>
            </w:r>
          </w:p>
        </w:tc>
        <w:tc>
          <w:tcPr>
            <w:tcW w:w="831"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€243,125</w:t>
            </w:r>
          </w:p>
        </w:tc>
      </w:tr>
      <w:tr w:rsidR="002A2736">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All-in   Cost</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€258,450</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€270,575</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€280,675</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€292,500</w:t>
            </w:r>
          </w:p>
        </w:tc>
        <w:tc>
          <w:tcPr>
            <w:tcW w:w="831"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€311,325</w:t>
            </w:r>
          </w:p>
        </w:tc>
      </w:tr>
    </w:tbl>
    <w:p w:rsidR="002A2736" w:rsidRDefault="002A2736" w:rsidP="002A2736">
      <w:pPr>
        <w:tabs>
          <w:tab w:val="left" w:pos="180"/>
          <w:tab w:val="left" w:pos="544"/>
          <w:tab w:val="left" w:pos="827"/>
          <w:tab w:val="left" w:pos="1111"/>
          <w:tab w:val="left" w:pos="1394"/>
          <w:tab w:val="left" w:pos="1961"/>
          <w:tab w:val="left" w:pos="2527"/>
        </w:tabs>
        <w:autoSpaceDE w:val="0"/>
        <w:autoSpaceDN w:val="0"/>
        <w:adjustRightInd w:val="0"/>
        <w:spacing w:after="0" w:line="240" w:lineRule="auto"/>
        <w:jc w:val="both"/>
        <w:rPr>
          <w:rFonts w:ascii="Tms Rmn" w:hAnsi="Tms Rmn" w:cs="Tms Rmn"/>
          <w:color w:val="000000"/>
          <w:sz w:val="24"/>
          <w:szCs w:val="24"/>
        </w:rPr>
      </w:pPr>
    </w:p>
    <w:p w:rsidR="002A2736" w:rsidRDefault="002A2736" w:rsidP="002A2736">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 </w:t>
      </w:r>
    </w:p>
    <w:tbl>
      <w:tblPr>
        <w:tblW w:w="5000" w:type="pct"/>
        <w:tblLayout w:type="fixed"/>
        <w:tblCellMar>
          <w:left w:w="0" w:type="dxa"/>
          <w:right w:w="0" w:type="dxa"/>
        </w:tblCellMar>
        <w:tblLook w:val="00A0" w:firstRow="1" w:lastRow="0" w:firstColumn="1" w:lastColumn="0" w:noHBand="0" w:noVBand="0"/>
      </w:tblPr>
      <w:tblGrid>
        <w:gridCol w:w="1502"/>
        <w:gridCol w:w="1502"/>
        <w:gridCol w:w="1502"/>
        <w:gridCol w:w="1502"/>
        <w:gridCol w:w="1503"/>
        <w:gridCol w:w="1499"/>
      </w:tblGrid>
      <w:tr w:rsidR="002A2736">
        <w:tc>
          <w:tcPr>
            <w:tcW w:w="4996" w:type="pct"/>
            <w:gridSpan w:val="6"/>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t>HOUSES - NATIONALLY</w:t>
            </w:r>
          </w:p>
        </w:tc>
      </w:tr>
      <w:tr w:rsidR="002A2736">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1 bed</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2 bed</w:t>
            </w:r>
            <w:r>
              <w:rPr>
                <w:rFonts w:ascii="Tms Rmn" w:hAnsi="Tms Rmn" w:cs="Tms Rmn"/>
                <w:b/>
                <w:bCs/>
                <w:color w:val="000000"/>
                <w:sz w:val="24"/>
                <w:szCs w:val="24"/>
              </w:rPr>
              <w:br/>
              <w:t>(1 storey)</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2 bed</w:t>
            </w:r>
            <w:r>
              <w:rPr>
                <w:rFonts w:ascii="Tms Rmn" w:hAnsi="Tms Rmn" w:cs="Tms Rmn"/>
                <w:b/>
                <w:bCs/>
                <w:color w:val="000000"/>
                <w:sz w:val="24"/>
                <w:szCs w:val="24"/>
              </w:rPr>
              <w:br/>
              <w:t>(2 storey)</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 bed</w:t>
            </w:r>
          </w:p>
        </w:tc>
        <w:tc>
          <w:tcPr>
            <w:tcW w:w="831"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4 bed</w:t>
            </w:r>
          </w:p>
        </w:tc>
      </w:tr>
      <w:tr w:rsidR="002A2736">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Construction</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€155,818</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€165,132</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€174,206</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€184,685</w:t>
            </w:r>
          </w:p>
        </w:tc>
        <w:tc>
          <w:tcPr>
            <w:tcW w:w="831"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€199,491</w:t>
            </w:r>
          </w:p>
        </w:tc>
      </w:tr>
      <w:tr w:rsidR="002A2736">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All-in   Cost</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€201,359</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€212,624</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€222,582</w:t>
            </w:r>
          </w:p>
        </w:tc>
        <w:tc>
          <w:tcPr>
            <w:tcW w:w="833"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€234,571</w:t>
            </w:r>
          </w:p>
        </w:tc>
        <w:tc>
          <w:tcPr>
            <w:tcW w:w="831"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€252,047</w:t>
            </w:r>
          </w:p>
        </w:tc>
      </w:tr>
    </w:tbl>
    <w:p w:rsidR="002A2736" w:rsidRDefault="002A2736" w:rsidP="002A2736">
      <w:pPr>
        <w:autoSpaceDE w:val="0"/>
        <w:autoSpaceDN w:val="0"/>
        <w:adjustRightInd w:val="0"/>
        <w:spacing w:before="240" w:after="0" w:line="240" w:lineRule="auto"/>
        <w:rPr>
          <w:rFonts w:ascii="Tms Rmn" w:hAnsi="Tms Rmn" w:cs="Tms Rmn"/>
          <w:color w:val="000000"/>
          <w:sz w:val="24"/>
          <w:szCs w:val="24"/>
        </w:rPr>
      </w:pPr>
    </w:p>
    <w:tbl>
      <w:tblPr>
        <w:tblW w:w="5000" w:type="pct"/>
        <w:tblLayout w:type="fixed"/>
        <w:tblCellMar>
          <w:left w:w="0" w:type="dxa"/>
          <w:right w:w="0" w:type="dxa"/>
        </w:tblCellMar>
        <w:tblLook w:val="00A0" w:firstRow="1" w:lastRow="0" w:firstColumn="1" w:lastColumn="0" w:noHBand="0" w:noVBand="0"/>
      </w:tblPr>
      <w:tblGrid>
        <w:gridCol w:w="2253"/>
        <w:gridCol w:w="2253"/>
        <w:gridCol w:w="2253"/>
        <w:gridCol w:w="2251"/>
      </w:tblGrid>
      <w:tr w:rsidR="002A2736">
        <w:tc>
          <w:tcPr>
            <w:tcW w:w="4999" w:type="pct"/>
            <w:gridSpan w:val="4"/>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jc w:val="center"/>
              <w:rPr>
                <w:rFonts w:ascii="Tms Rmn" w:hAnsi="Tms Rmn" w:cs="Tms Rmn"/>
                <w:b/>
                <w:bCs/>
                <w:color w:val="000000"/>
                <w:sz w:val="24"/>
                <w:szCs w:val="24"/>
              </w:rPr>
            </w:pPr>
            <w:r>
              <w:rPr>
                <w:rFonts w:ascii="Tms Rmn" w:hAnsi="Tms Rmn" w:cs="Tms Rmn"/>
                <w:b/>
                <w:bCs/>
                <w:color w:val="000000"/>
                <w:sz w:val="24"/>
                <w:szCs w:val="24"/>
              </w:rPr>
              <w:lastRenderedPageBreak/>
              <w:t>APARTMENTS - NATIONALLY</w:t>
            </w:r>
          </w:p>
        </w:tc>
      </w:tr>
      <w:tr w:rsidR="002A2736">
        <w:tc>
          <w:tcPr>
            <w:tcW w:w="125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w:t>
            </w:r>
          </w:p>
        </w:tc>
        <w:tc>
          <w:tcPr>
            <w:tcW w:w="125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1 bed</w:t>
            </w:r>
          </w:p>
        </w:tc>
        <w:tc>
          <w:tcPr>
            <w:tcW w:w="125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2 bed</w:t>
            </w:r>
          </w:p>
        </w:tc>
        <w:tc>
          <w:tcPr>
            <w:tcW w:w="1249"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3 bed</w:t>
            </w:r>
          </w:p>
        </w:tc>
      </w:tr>
      <w:tr w:rsidR="002A2736">
        <w:tc>
          <w:tcPr>
            <w:tcW w:w="125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Construction</w:t>
            </w:r>
          </w:p>
        </w:tc>
        <w:tc>
          <w:tcPr>
            <w:tcW w:w="125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€174,159</w:t>
            </w:r>
          </w:p>
        </w:tc>
        <w:tc>
          <w:tcPr>
            <w:tcW w:w="125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€189,112</w:t>
            </w:r>
          </w:p>
        </w:tc>
        <w:tc>
          <w:tcPr>
            <w:tcW w:w="1249"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€209,482</w:t>
            </w:r>
          </w:p>
        </w:tc>
      </w:tr>
      <w:tr w:rsidR="002A2736">
        <w:tc>
          <w:tcPr>
            <w:tcW w:w="125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b/>
                <w:bCs/>
                <w:color w:val="000000"/>
                <w:sz w:val="24"/>
                <w:szCs w:val="24"/>
              </w:rPr>
              <w:t>All-in   Cost</w:t>
            </w:r>
          </w:p>
        </w:tc>
        <w:tc>
          <w:tcPr>
            <w:tcW w:w="125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€225,082</w:t>
            </w:r>
          </w:p>
        </w:tc>
        <w:tc>
          <w:tcPr>
            <w:tcW w:w="1250"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€243,476</w:t>
            </w:r>
          </w:p>
        </w:tc>
        <w:tc>
          <w:tcPr>
            <w:tcW w:w="1249" w:type="pct"/>
            <w:tcBorders>
              <w:top w:val="single" w:sz="6" w:space="0" w:color="auto"/>
              <w:left w:val="single" w:sz="6" w:space="0" w:color="auto"/>
              <w:bottom w:val="single" w:sz="6" w:space="0" w:color="auto"/>
              <w:right w:val="single" w:sz="6" w:space="0" w:color="auto"/>
            </w:tcBorders>
          </w:tcPr>
          <w:p w:rsidR="002A2736" w:rsidRDefault="002A2736">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€267,629</w:t>
            </w:r>
          </w:p>
        </w:tc>
      </w:tr>
    </w:tbl>
    <w:p w:rsidR="002A2736" w:rsidRDefault="002A2736" w:rsidP="002A2736">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 The above figures are based on returned data from tendered social housing schemes over an extended period. ‘Construction’ cost is reflective of building costs (including VAT) </w:t>
      </w:r>
      <w:proofErr w:type="gramStart"/>
      <w:r>
        <w:rPr>
          <w:rFonts w:ascii="Tms Rmn" w:hAnsi="Tms Rmn" w:cs="Tms Rmn"/>
          <w:color w:val="000000"/>
          <w:sz w:val="24"/>
          <w:szCs w:val="24"/>
        </w:rPr>
        <w:t>and also</w:t>
      </w:r>
      <w:proofErr w:type="gramEnd"/>
      <w:r>
        <w:rPr>
          <w:rFonts w:ascii="Tms Rmn" w:hAnsi="Tms Rmn" w:cs="Tms Rmn"/>
          <w:color w:val="000000"/>
          <w:sz w:val="24"/>
          <w:szCs w:val="24"/>
        </w:rPr>
        <w:t xml:space="preserve"> includes normal site works and site development. ‘All-in Cost’ includes cost of construction, land cost, professional fees, utility connections, site investigations/surveys, archaeology where appropriate, VAT and contribution to public art. Abnormal costs are excluded from these figures.</w:t>
      </w:r>
    </w:p>
    <w:p w:rsidR="002A2736" w:rsidRDefault="002A2736" w:rsidP="002A2736">
      <w:pPr>
        <w:autoSpaceDE w:val="0"/>
        <w:autoSpaceDN w:val="0"/>
        <w:adjustRightInd w:val="0"/>
        <w:spacing w:before="240" w:after="0" w:line="240" w:lineRule="auto"/>
        <w:jc w:val="both"/>
        <w:rPr>
          <w:rFonts w:ascii="Tms Rmn" w:hAnsi="Tms Rmn" w:cs="Tms Rmn"/>
          <w:color w:val="000000"/>
          <w:sz w:val="24"/>
          <w:szCs w:val="24"/>
        </w:rPr>
      </w:pPr>
    </w:p>
    <w:p w:rsidR="002A2736" w:rsidRDefault="002A2736" w:rsidP="00A763AD">
      <w:pPr>
        <w:spacing w:line="360" w:lineRule="auto"/>
        <w:rPr>
          <w:sz w:val="24"/>
          <w:szCs w:val="24"/>
        </w:rPr>
      </w:pPr>
    </w:p>
    <w:p w:rsidR="00407591" w:rsidRPr="00A8045E" w:rsidRDefault="00407591" w:rsidP="00A763AD">
      <w:pPr>
        <w:spacing w:line="360" w:lineRule="auto"/>
        <w:rPr>
          <w:sz w:val="24"/>
          <w:szCs w:val="24"/>
        </w:rPr>
      </w:pPr>
    </w:p>
    <w:p w:rsidR="00BB563E" w:rsidRDefault="00BB563E"/>
    <w:sectPr w:rsidR="00BB5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3E"/>
    <w:rsid w:val="001A7A32"/>
    <w:rsid w:val="002A2736"/>
    <w:rsid w:val="00407591"/>
    <w:rsid w:val="00592605"/>
    <w:rsid w:val="005A467B"/>
    <w:rsid w:val="005A73CF"/>
    <w:rsid w:val="005E4876"/>
    <w:rsid w:val="00820662"/>
    <w:rsid w:val="00A763AD"/>
    <w:rsid w:val="00A8045E"/>
    <w:rsid w:val="00AB08FD"/>
    <w:rsid w:val="00AF563A"/>
    <w:rsid w:val="00BB56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0283"/>
  <w15:chartTrackingRefBased/>
  <w15:docId w15:val="{B29524E2-7D70-436D-8C46-D475B2BF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using.gov.ie/housing/social-housing/social-and-affordble/overall-social-housing-provis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Oireachtas House</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Dillon</dc:creator>
  <cp:keywords/>
  <dc:description/>
  <cp:lastModifiedBy>Sean Dunne</cp:lastModifiedBy>
  <cp:revision>2</cp:revision>
  <dcterms:created xsi:type="dcterms:W3CDTF">2019-11-28T09:48:00Z</dcterms:created>
  <dcterms:modified xsi:type="dcterms:W3CDTF">2019-11-28T09:48:00Z</dcterms:modified>
</cp:coreProperties>
</file>